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eastAsia="宋体" w:cs="Times New Roman"/>
          <w:b/>
          <w:bCs/>
          <w:spacing w:val="80"/>
          <w:sz w:val="64"/>
          <w:szCs w:val="20"/>
          <w:highlight w:val="none"/>
        </w:rPr>
      </w:pPr>
      <w:r>
        <w:rPr>
          <w:rFonts w:ascii="宋体" w:hAnsi="宋体" w:eastAsia="宋体" w:cs="Times New Roman"/>
          <w:b/>
          <w:bCs/>
          <w:spacing w:val="80"/>
          <w:sz w:val="64"/>
          <w:szCs w:val="20"/>
          <w:highlight w:val="none"/>
        </w:rPr>
      </w:r>
      <w:r/>
    </w:p>
    <w:p>
      <w:pPr>
        <w:jc w:val="left"/>
        <w:spacing w:line="360" w:lineRule="auto"/>
        <w:rPr>
          <w:rFonts w:ascii="宋体" w:hAnsi="宋体" w:eastAsia="宋体" w:cs="Times New Roman"/>
          <w:b/>
          <w:bCs/>
          <w:spacing w:val="80"/>
          <w:sz w:val="64"/>
          <w:szCs w:val="20"/>
          <w:highlight w:val="none"/>
        </w:rPr>
      </w:pPr>
      <w:r>
        <w:rPr>
          <w:rFonts w:ascii="宋体" w:hAnsi="宋体" w:eastAsia="宋体" w:cs="Times New Roman"/>
          <w:b/>
          <w:bCs/>
          <w:spacing w:val="80"/>
          <w:sz w:val="64"/>
          <w:szCs w:val="20"/>
          <w:highlight w:val="none"/>
        </w:rPr>
      </w:r>
      <w:r/>
    </w:p>
    <w:p>
      <w:pPr>
        <w:jc w:val="center"/>
        <w:spacing w:line="360" w:lineRule="auto"/>
        <w:rPr>
          <w:rFonts w:ascii="宋体" w:hAnsi="宋体" w:eastAsia="宋体" w:cs="Times New Roman"/>
          <w:b/>
          <w:bCs/>
          <w:spacing w:val="80"/>
          <w:sz w:val="72"/>
          <w:szCs w:val="72"/>
          <w:highlight w:val="none"/>
        </w:rPr>
      </w:pPr>
      <w:r>
        <w:rPr>
          <w:rFonts w:hint="eastAsia" w:ascii="宋体" w:hAnsi="宋体" w:eastAsia="宋体" w:cs="Times New Roman"/>
          <w:b/>
          <w:bCs/>
          <w:spacing w:val="80"/>
          <w:sz w:val="72"/>
          <w:szCs w:val="72"/>
          <w:highlight w:val="none"/>
        </w:rPr>
        <w:t xml:space="preserve">连云港市政府采购</w:t>
      </w:r>
      <w:r/>
    </w:p>
    <w:p>
      <w:pPr>
        <w:ind w:firstLine="947"/>
        <w:spacing w:line="360" w:lineRule="auto"/>
        <w:rPr>
          <w:rFonts w:ascii="宋体" w:hAnsi="宋体" w:eastAsia="宋体" w:cs="Times New Roman"/>
          <w:b/>
          <w:bCs/>
          <w:spacing w:val="16"/>
          <w:sz w:val="44"/>
          <w:szCs w:val="24"/>
          <w:highlight w:val="none"/>
        </w:rPr>
      </w:pPr>
      <w:r>
        <w:rPr>
          <w:rFonts w:ascii="宋体" w:hAnsi="宋体" w:eastAsia="宋体" w:cs="Times New Roman"/>
          <w:b/>
          <w:bCs/>
          <w:spacing w:val="16"/>
          <w:sz w:val="44"/>
          <w:szCs w:val="24"/>
          <w:highlight w:val="none"/>
        </w:rPr>
      </w:r>
      <w:r/>
    </w:p>
    <w:p>
      <w:pPr>
        <w:ind w:firstLine="947"/>
        <w:spacing w:line="360" w:lineRule="auto"/>
        <w:rPr>
          <w:rFonts w:ascii="宋体" w:hAnsi="宋体" w:eastAsia="宋体" w:cs="Times New Roman"/>
          <w:b/>
          <w:bCs/>
          <w:spacing w:val="16"/>
          <w:sz w:val="44"/>
          <w:szCs w:val="24"/>
          <w:highlight w:val="none"/>
        </w:rPr>
      </w:pPr>
      <w:r>
        <w:rPr>
          <w:rFonts w:ascii="宋体" w:hAnsi="宋体" w:eastAsia="宋体" w:cs="Times New Roman"/>
          <w:b/>
          <w:bCs/>
          <w:spacing w:val="16"/>
          <w:sz w:val="44"/>
          <w:szCs w:val="24"/>
          <w:highlight w:val="none"/>
        </w:rPr>
      </w:r>
      <w:r/>
    </w:p>
    <w:p>
      <w:pPr>
        <w:jc w:val="center"/>
        <w:spacing w:line="360" w:lineRule="auto"/>
        <w:rPr>
          <w:rFonts w:ascii="宋体" w:hAnsi="宋体" w:eastAsia="宋体" w:cs="Times New Roman"/>
          <w:b/>
          <w:bCs/>
          <w:spacing w:val="80"/>
          <w:sz w:val="72"/>
          <w:szCs w:val="72"/>
          <w:highlight w:val="none"/>
        </w:rPr>
      </w:pPr>
      <w:r>
        <w:rPr>
          <w:rFonts w:hint="eastAsia" w:ascii="宋体" w:hAnsi="宋体" w:eastAsia="宋体" w:cs="Times New Roman"/>
          <w:b/>
          <w:bCs/>
          <w:spacing w:val="80"/>
          <w:sz w:val="72"/>
          <w:szCs w:val="72"/>
          <w:highlight w:val="none"/>
        </w:rPr>
        <w:t xml:space="preserve">招标文件</w:t>
      </w:r>
      <w:r/>
    </w:p>
    <w:p>
      <w:pPr>
        <w:ind w:firstLine="947"/>
        <w:spacing w:line="360" w:lineRule="auto"/>
        <w:rPr>
          <w:rFonts w:ascii="宋体" w:hAnsi="宋体" w:eastAsia="宋体" w:cs="Times New Roman"/>
          <w:b/>
          <w:bCs/>
          <w:spacing w:val="16"/>
          <w:sz w:val="44"/>
          <w:szCs w:val="24"/>
          <w:highlight w:val="none"/>
        </w:rPr>
      </w:pPr>
      <w:r>
        <w:rPr>
          <w:rFonts w:ascii="宋体" w:hAnsi="宋体" w:eastAsia="宋体" w:cs="Times New Roman"/>
          <w:b/>
          <w:bCs/>
          <w:spacing w:val="16"/>
          <w:sz w:val="44"/>
          <w:szCs w:val="24"/>
          <w:highlight w:val="none"/>
        </w:rPr>
      </w:r>
      <w:r/>
    </w:p>
    <w:p>
      <w:pPr>
        <w:ind w:firstLine="947"/>
        <w:spacing w:line="360" w:lineRule="auto"/>
        <w:rPr>
          <w:rFonts w:ascii="宋体" w:hAnsi="宋体" w:eastAsia="宋体" w:cs="Times New Roman"/>
          <w:b/>
          <w:bCs/>
          <w:spacing w:val="16"/>
          <w:sz w:val="44"/>
          <w:szCs w:val="24"/>
          <w:highlight w:val="none"/>
        </w:rPr>
      </w:pPr>
      <w:r>
        <w:rPr>
          <w:rFonts w:ascii="宋体" w:hAnsi="宋体" w:eastAsia="宋体" w:cs="Times New Roman"/>
          <w:b/>
          <w:bCs/>
          <w:spacing w:val="16"/>
          <w:sz w:val="44"/>
          <w:szCs w:val="24"/>
          <w:highlight w:val="none"/>
        </w:rPr>
      </w:r>
      <w:r/>
    </w:p>
    <w:p>
      <w:pPr>
        <w:ind w:firstLine="947"/>
        <w:spacing w:line="360" w:lineRule="auto"/>
        <w:rPr>
          <w:rFonts w:ascii="宋体" w:hAnsi="宋体" w:eastAsia="宋体" w:cs="Times New Roman"/>
          <w:b/>
          <w:bCs/>
          <w:spacing w:val="16"/>
          <w:sz w:val="44"/>
          <w:szCs w:val="24"/>
          <w:highlight w:val="none"/>
        </w:rPr>
      </w:pPr>
      <w:r>
        <w:rPr>
          <w:rFonts w:ascii="宋体" w:hAnsi="宋体" w:eastAsia="宋体" w:cs="Times New Roman"/>
          <w:b/>
          <w:bCs/>
          <w:spacing w:val="16"/>
          <w:sz w:val="44"/>
          <w:szCs w:val="24"/>
          <w:highlight w:val="none"/>
        </w:rPr>
      </w:r>
      <w:r/>
    </w:p>
    <w:p>
      <w:pPr>
        <w:ind w:left="840" w:firstLine="611"/>
        <w:spacing w:line="360" w:lineRule="auto"/>
        <w:rPr>
          <w:rFonts w:hint="eastAsia" w:ascii="宋体" w:hAnsi="宋体" w:eastAsia="宋体" w:cs="Times New Roman"/>
          <w:b/>
          <w:bCs/>
          <w:spacing w:val="16"/>
          <w:sz w:val="44"/>
          <w:szCs w:val="24"/>
          <w:highlight w:val="none"/>
          <w:lang w:eastAsia="zh-CN"/>
        </w:rPr>
      </w:pPr>
      <w:r>
        <w:rPr>
          <w:rFonts w:hint="eastAsia" w:ascii="宋体" w:hAnsi="宋体" w:eastAsia="宋体" w:cs="Times New Roman"/>
          <w:b/>
          <w:bCs/>
          <w:sz w:val="32"/>
          <w:szCs w:val="24"/>
          <w:highlight w:val="none"/>
        </w:rPr>
        <w:t xml:space="preserve">项目名称：</w:t>
      </w:r>
      <w:r>
        <w:rPr>
          <w:rFonts w:hint="eastAsia" w:ascii="宋体" w:hAnsi="宋体" w:eastAsia="宋体" w:cs="Times New Roman"/>
          <w:b/>
          <w:bCs/>
          <w:sz w:val="32"/>
          <w:szCs w:val="24"/>
          <w:highlight w:val="none"/>
          <w:lang w:eastAsia="zh-CN"/>
        </w:rPr>
        <w:t xml:space="preserve">新海初级中学智慧教室</w:t>
      </w:r>
      <w:r/>
    </w:p>
    <w:p>
      <w:pPr>
        <w:ind w:left="840" w:firstLine="611"/>
        <w:spacing w:line="360" w:lineRule="auto"/>
        <w:rPr>
          <w:rFonts w:hint="default" w:ascii="宋体" w:hAnsi="宋体" w:eastAsia="宋体" w:cs="Times New Roman"/>
          <w:b/>
          <w:bCs/>
          <w:sz w:val="32"/>
          <w:szCs w:val="24"/>
          <w:highlight w:val="none"/>
          <w:lang w:val="en-US" w:eastAsia="zh-CN"/>
        </w:rPr>
      </w:pPr>
      <w:r>
        <w:rPr>
          <w:rFonts w:hint="eastAsia" w:ascii="宋体" w:hAnsi="宋体" w:eastAsia="宋体" w:cs="Times New Roman"/>
          <w:b/>
          <w:bCs/>
          <w:sz w:val="32"/>
          <w:szCs w:val="24"/>
          <w:highlight w:val="none"/>
        </w:rPr>
        <w:t xml:space="preserve">项目编号：</w:t>
      </w:r>
      <w:r>
        <w:rPr>
          <w:rFonts w:hint="eastAsia" w:ascii="宋体" w:hAnsi="宋体" w:eastAsia="宋体" w:cs="Times New Roman"/>
          <w:b/>
          <w:bCs/>
          <w:sz w:val="32"/>
          <w:szCs w:val="24"/>
          <w:highlight w:val="none"/>
          <w:lang w:val="en-US" w:eastAsia="zh-CN"/>
        </w:rPr>
        <w:t xml:space="preserve">JSZC-320700-JSJY-G2025-0056</w:t>
      </w:r>
      <w:r/>
    </w:p>
    <w:p>
      <w:pPr>
        <w:spacing w:line="360" w:lineRule="auto"/>
        <w:rPr>
          <w:rFonts w:ascii="宋体" w:hAnsi="宋体" w:eastAsia="宋体" w:cs="Times New Roman"/>
          <w:szCs w:val="24"/>
          <w:highlight w:val="none"/>
        </w:rPr>
      </w:pPr>
      <w:r>
        <w:rPr>
          <w:rFonts w:ascii="宋体" w:hAnsi="宋体" w:eastAsia="宋体" w:cs="Times New Roman"/>
          <w:szCs w:val="24"/>
          <w:highlight w:val="none"/>
        </w:rPr>
      </w:r>
      <w:r/>
    </w:p>
    <w:p>
      <w:pPr>
        <w:ind w:right="-993"/>
        <w:spacing w:line="360" w:lineRule="auto"/>
        <w:rPr>
          <w:rFonts w:ascii="宋体" w:hAnsi="宋体" w:eastAsia="宋体" w:cs="Times New Roman"/>
          <w:szCs w:val="20"/>
          <w:highlight w:val="none"/>
        </w:rPr>
      </w:pPr>
      <w:r>
        <w:rPr>
          <w:rFonts w:ascii="宋体" w:hAnsi="宋体" w:eastAsia="宋体" w:cs="Times New Roman"/>
          <w:szCs w:val="20"/>
          <w:highlight w:val="none"/>
        </w:rPr>
      </w:r>
      <w:r/>
    </w:p>
    <w:p>
      <w:pPr>
        <w:ind w:right="-993"/>
        <w:spacing w:line="360" w:lineRule="auto"/>
        <w:rPr>
          <w:rFonts w:hint="eastAsia" w:ascii="宋体" w:hAnsi="宋体" w:cs="Times New Roman"/>
          <w:szCs w:val="20"/>
          <w:highlight w:val="none"/>
        </w:rPr>
      </w:pPr>
      <w:r>
        <w:rPr>
          <w:rFonts w:hint="eastAsia" w:ascii="宋体" w:hAnsi="宋体" w:cs="Times New Roman"/>
          <w:szCs w:val="20"/>
          <w:highlight w:val="none"/>
        </w:rPr>
      </w:r>
      <w:r/>
    </w:p>
    <w:p>
      <w:pPr>
        <w:ind w:left="840" w:firstLine="640"/>
        <w:spacing w:before="120" w:after="120" w:line="360" w:lineRule="auto"/>
        <w:rPr>
          <w:rFonts w:hint="eastAsia" w:ascii="Arial" w:hAnsi="Arial" w:eastAsia="宋体" w:cs="Times New Roman"/>
          <w:bCs/>
          <w:sz w:val="32"/>
          <w:szCs w:val="24"/>
          <w:highlight w:val="none"/>
          <w:lang w:eastAsia="zh-CN"/>
        </w:rPr>
      </w:pPr>
      <w:r>
        <w:rPr>
          <w:rFonts w:hint="eastAsia" w:ascii="Arial" w:hAnsi="Arial" w:eastAsia="宋体" w:cs="Times New Roman"/>
          <w:bCs/>
          <w:sz w:val="32"/>
          <w:szCs w:val="24"/>
          <w:highlight w:val="none"/>
        </w:rPr>
        <w:t xml:space="preserve">采购人：</w:t>
      </w:r>
      <w:r>
        <w:rPr>
          <w:rFonts w:hint="eastAsia" w:ascii="Arial" w:hAnsi="Arial" w:eastAsia="宋体" w:cs="Times New Roman"/>
          <w:bCs/>
          <w:sz w:val="32"/>
          <w:szCs w:val="24"/>
          <w:highlight w:val="none"/>
          <w:lang w:eastAsia="zh-CN"/>
        </w:rPr>
        <w:t xml:space="preserve">连云港市新海初级中学</w:t>
      </w:r>
      <w:r/>
    </w:p>
    <w:p>
      <w:pPr>
        <w:ind w:left="840" w:firstLine="640"/>
        <w:jc w:val="left"/>
        <w:spacing w:before="120" w:after="120" w:line="360" w:lineRule="auto"/>
        <w:rPr>
          <w:rFonts w:hint="eastAsia" w:ascii="Arial" w:hAnsi="Arial" w:eastAsia="宋体" w:cs="Times New Roman"/>
          <w:bCs/>
          <w:sz w:val="32"/>
          <w:szCs w:val="24"/>
          <w:highlight w:val="none"/>
          <w:lang w:eastAsia="zh-CN"/>
        </w:rPr>
      </w:pPr>
      <w:r>
        <w:rPr>
          <w:rFonts w:hint="eastAsia" w:ascii="Arial" w:hAnsi="Arial" w:eastAsia="宋体" w:cs="Times New Roman"/>
          <w:bCs/>
          <w:sz w:val="32"/>
          <w:szCs w:val="24"/>
          <w:highlight w:val="none"/>
        </w:rPr>
        <w:t xml:space="preserve">采购代理机构：</w:t>
      </w:r>
      <w:r>
        <w:rPr>
          <w:rFonts w:hint="eastAsia" w:ascii="Arial" w:hAnsi="Arial" w:eastAsia="宋体" w:cs="Times New Roman"/>
          <w:bCs/>
          <w:sz w:val="32"/>
          <w:szCs w:val="24"/>
          <w:highlight w:val="none"/>
          <w:lang w:eastAsia="zh-CN"/>
        </w:rPr>
        <w:t xml:space="preserve">江苏建友兴业工程项目管理有限公司</w:t>
      </w:r>
      <w:r/>
    </w:p>
    <w:p>
      <w:pPr>
        <w:jc w:val="center"/>
        <w:spacing w:before="120" w:after="120" w:line="360" w:lineRule="auto"/>
        <w:rPr>
          <w:rFonts w:hint="eastAsia" w:ascii="宋体" w:hAnsi="宋体" w:eastAsia="宋体" w:cs="宋体"/>
          <w:bCs/>
          <w:sz w:val="30"/>
          <w:szCs w:val="30"/>
          <w:highlight w:val="none"/>
        </w:rPr>
      </w:pPr>
      <w:r>
        <w:rPr>
          <w:rFonts w:hint="eastAsia" w:ascii="宋体" w:hAnsi="宋体" w:eastAsia="宋体" w:cs="宋体"/>
          <w:bCs/>
          <w:sz w:val="30"/>
          <w:szCs w:val="30"/>
          <w:highlight w:val="none"/>
        </w:rPr>
        <w:t xml:space="preserve">202</w:t>
      </w:r>
      <w:r>
        <w:rPr>
          <w:rFonts w:hint="eastAsia" w:ascii="宋体" w:hAnsi="宋体" w:eastAsia="宋体" w:cs="宋体"/>
          <w:bCs/>
          <w:sz w:val="30"/>
          <w:szCs w:val="30"/>
          <w:highlight w:val="none"/>
          <w:lang w:val="en-US" w:eastAsia="zh-CN"/>
        </w:rPr>
        <w:t xml:space="preserve">5</w:t>
      </w:r>
      <w:r>
        <w:rPr>
          <w:rFonts w:hint="eastAsia" w:ascii="宋体" w:hAnsi="宋体" w:eastAsia="宋体" w:cs="宋体"/>
          <w:bCs/>
          <w:sz w:val="30"/>
          <w:szCs w:val="30"/>
          <w:highlight w:val="none"/>
        </w:rPr>
        <w:t xml:space="preserve">年</w:t>
      </w:r>
      <w:r>
        <w:rPr>
          <w:rFonts w:hint="eastAsia" w:ascii="宋体" w:hAnsi="宋体" w:eastAsia="宋体" w:cs="宋体"/>
          <w:bCs/>
          <w:sz w:val="30"/>
          <w:szCs w:val="30"/>
          <w:highlight w:val="none"/>
          <w:lang w:val="en-US" w:eastAsia="zh-CN"/>
        </w:rPr>
        <w:t xml:space="preserve">11</w:t>
      </w:r>
      <w:r>
        <w:rPr>
          <w:rFonts w:hint="eastAsia" w:ascii="宋体" w:hAnsi="宋体" w:eastAsia="宋体" w:cs="宋体"/>
          <w:bCs/>
          <w:sz w:val="30"/>
          <w:szCs w:val="30"/>
          <w:highlight w:val="none"/>
        </w:rPr>
        <w:t xml:space="preserve">月</w:t>
      </w:r>
      <w:r/>
    </w:p>
    <w:p>
      <w:pPr>
        <w:jc w:val="center"/>
        <w:rPr>
          <w:rFonts w:ascii="Times New Roman" w:hAnsi="Times New Roman" w:eastAsia="黑体" w:cs="Times New Roman"/>
          <w:b/>
          <w:sz w:val="36"/>
          <w:szCs w:val="20"/>
          <w:highlight w:val="none"/>
        </w:rPr>
      </w:pPr>
      <w:r>
        <w:rPr>
          <w:rFonts w:ascii="Times New Roman" w:hAnsi="Times New Roman" w:eastAsia="黑体" w:cs="Times New Roman"/>
          <w:b/>
          <w:sz w:val="28"/>
          <w:szCs w:val="20"/>
          <w:highlight w:val="none"/>
        </w:rPr>
        <w:br w:type="page" w:clear="all"/>
      </w:r>
      <w:bookmarkStart w:id="0" w:name="_Toc3580"/>
      <w:r>
        <w:rPr>
          <w:rFonts w:hint="eastAsia" w:ascii="Times New Roman" w:hAnsi="宋体" w:eastAsia="黑体" w:cs="Times New Roman"/>
          <w:sz w:val="36"/>
          <w:szCs w:val="20"/>
          <w:highlight w:val="none"/>
        </w:rPr>
        <w:t xml:space="preserve">目录</w:t>
      </w:r>
      <w:bookmarkEnd w:id="0"/>
      <w:r/>
      <w:r/>
    </w:p>
    <w:p>
      <w:pPr>
        <w:pStyle w:val="903"/>
        <w:ind w:firstLine="560"/>
        <w:tabs>
          <w:tab w:val="right" w:pos="9628" w:leader="dot"/>
        </w:tabs>
        <w:rPr>
          <w:rFonts w:ascii="宋体" w:hAnsi="宋体" w:cstheme="minorBidi"/>
          <w:b w:val="0"/>
          <w:bCs w:val="0"/>
          <w:i w:val="0"/>
          <w:iCs w:val="0"/>
          <w:sz w:val="28"/>
          <w:szCs w:val="28"/>
          <w:highlight w:val="none"/>
        </w:rPr>
      </w:pPr>
      <w:r>
        <w:rPr>
          <w:rFonts w:hint="eastAsia" w:ascii="宋体" w:hAnsi="宋体"/>
          <w:b w:val="0"/>
          <w:bCs w:val="0"/>
          <w:i w:val="0"/>
          <w:sz w:val="28"/>
          <w:szCs w:val="28"/>
          <w:highlight w:val="none"/>
        </w:rPr>
        <w:fldChar w:fldCharType="begin"/>
      </w:r>
      <w:r>
        <w:rPr>
          <w:rFonts w:hint="eastAsia" w:ascii="宋体" w:hAnsi="宋体"/>
          <w:i w:val="0"/>
          <w:sz w:val="28"/>
          <w:szCs w:val="28"/>
          <w:highlight w:val="none"/>
        </w:rPr>
        <w:instrText xml:space="preserve">TOC \o "1-1" \h \u </w:instrText>
      </w:r>
      <w:r>
        <w:rPr>
          <w:rFonts w:hint="eastAsia" w:ascii="宋体" w:hAnsi="宋体"/>
          <w:b w:val="0"/>
          <w:bCs w:val="0"/>
          <w:i w:val="0"/>
          <w:sz w:val="28"/>
          <w:szCs w:val="28"/>
          <w:highlight w:val="none"/>
        </w:rPr>
        <w:fldChar w:fldCharType="separate"/>
      </w:r>
      <w:r>
        <w:rPr>
          <w:highlight w:val="none"/>
        </w:rPr>
        <w:fldChar w:fldCharType="begin"/>
      </w:r>
      <w:r>
        <w:rPr>
          <w:highlight w:val="none"/>
        </w:rPr>
        <w:instrText xml:space="preserve"> HYPERLINK \l "_Toc150765434" </w:instrText>
      </w:r>
      <w:r>
        <w:rPr>
          <w:highlight w:val="none"/>
        </w:rPr>
        <w:fldChar w:fldCharType="separate"/>
      </w:r>
      <w:r>
        <w:rPr>
          <w:rStyle w:val="916"/>
          <w:rFonts w:hint="eastAsia" w:ascii="宋体" w:hAnsi="宋体"/>
          <w:i w:val="0"/>
          <w:color w:val="auto"/>
          <w:sz w:val="28"/>
          <w:szCs w:val="28"/>
          <w:highlight w:val="none"/>
        </w:rPr>
        <w:t xml:space="preserve">第一章投标邀请</w:t>
      </w:r>
      <w:r>
        <w:rPr>
          <w:rFonts w:ascii="宋体" w:hAnsi="宋体"/>
          <w:i w:val="0"/>
          <w:sz w:val="28"/>
          <w:szCs w:val="28"/>
          <w:highlight w:val="none"/>
        </w:rPr>
        <w:tab/>
      </w:r>
      <w:r>
        <w:rPr>
          <w:rFonts w:ascii="宋体" w:hAnsi="宋体"/>
          <w:i w:val="0"/>
          <w:sz w:val="28"/>
          <w:szCs w:val="28"/>
          <w:highlight w:val="none"/>
        </w:rPr>
        <w:fldChar w:fldCharType="begin"/>
      </w:r>
      <w:r>
        <w:rPr>
          <w:rFonts w:ascii="宋体" w:hAnsi="宋体"/>
          <w:i w:val="0"/>
          <w:sz w:val="28"/>
          <w:szCs w:val="28"/>
          <w:highlight w:val="none"/>
        </w:rPr>
        <w:instrText xml:space="preserve"> PAGEREF _Toc150765434 \h </w:instrText>
      </w:r>
      <w:r>
        <w:rPr>
          <w:rFonts w:ascii="宋体" w:hAnsi="宋体"/>
          <w:i w:val="0"/>
          <w:sz w:val="28"/>
          <w:szCs w:val="28"/>
          <w:highlight w:val="none"/>
        </w:rPr>
        <w:fldChar w:fldCharType="separate"/>
      </w:r>
      <w:r>
        <w:rPr>
          <w:rFonts w:ascii="宋体" w:hAnsi="宋体"/>
          <w:i w:val="0"/>
          <w:sz w:val="28"/>
          <w:szCs w:val="28"/>
          <w:highlight w:val="none"/>
        </w:rPr>
        <w:t xml:space="preserve">3</w:t>
      </w:r>
      <w:r>
        <w:rPr>
          <w:rFonts w:ascii="宋体" w:hAnsi="宋体"/>
          <w:i w:val="0"/>
          <w:sz w:val="28"/>
          <w:szCs w:val="28"/>
          <w:highlight w:val="none"/>
        </w:rPr>
        <w:fldChar w:fldCharType="end"/>
      </w:r>
      <w:r>
        <w:rPr>
          <w:rFonts w:ascii="宋体" w:hAnsi="宋体"/>
          <w:i w:val="0"/>
          <w:sz w:val="28"/>
          <w:szCs w:val="28"/>
          <w:highlight w:val="none"/>
        </w:rPr>
        <w:fldChar w:fldCharType="end"/>
      </w:r>
      <w:r/>
    </w:p>
    <w:p>
      <w:pPr>
        <w:pStyle w:val="903"/>
        <w:ind w:firstLine="482"/>
        <w:tabs>
          <w:tab w:val="right" w:pos="9628" w:leader="dot"/>
        </w:tabs>
        <w:rPr>
          <w:rFonts w:ascii="宋体" w:hAnsi="宋体" w:cstheme="minorBidi"/>
          <w:b w:val="0"/>
          <w:bCs w:val="0"/>
          <w:i w:val="0"/>
          <w:iCs w:val="0"/>
          <w:sz w:val="28"/>
          <w:szCs w:val="28"/>
          <w:highlight w:val="none"/>
        </w:rPr>
      </w:pPr>
      <w:r>
        <w:rPr>
          <w:highlight w:val="none"/>
        </w:rPr>
        <w:fldChar w:fldCharType="begin"/>
      </w:r>
      <w:r>
        <w:rPr>
          <w:highlight w:val="none"/>
        </w:rPr>
        <w:instrText xml:space="preserve"> HYPERLINK \l "_Toc150765435" </w:instrText>
      </w:r>
      <w:r>
        <w:rPr>
          <w:highlight w:val="none"/>
        </w:rPr>
        <w:fldChar w:fldCharType="separate"/>
      </w:r>
      <w:r>
        <w:rPr>
          <w:rStyle w:val="916"/>
          <w:rFonts w:hint="eastAsia" w:ascii="宋体" w:hAnsi="宋体"/>
          <w:i w:val="0"/>
          <w:color w:val="auto"/>
          <w:sz w:val="28"/>
          <w:szCs w:val="28"/>
          <w:highlight w:val="none"/>
        </w:rPr>
        <w:t xml:space="preserve">第二章投标人须知</w:t>
      </w:r>
      <w:r>
        <w:rPr>
          <w:rFonts w:ascii="宋体" w:hAnsi="宋体"/>
          <w:i w:val="0"/>
          <w:sz w:val="28"/>
          <w:szCs w:val="28"/>
          <w:highlight w:val="none"/>
        </w:rPr>
        <w:tab/>
      </w:r>
      <w:r>
        <w:rPr>
          <w:rFonts w:ascii="宋体" w:hAnsi="宋体"/>
          <w:i w:val="0"/>
          <w:sz w:val="28"/>
          <w:szCs w:val="28"/>
          <w:highlight w:val="none"/>
        </w:rPr>
        <w:fldChar w:fldCharType="begin"/>
      </w:r>
      <w:r>
        <w:rPr>
          <w:rFonts w:ascii="宋体" w:hAnsi="宋体"/>
          <w:i w:val="0"/>
          <w:sz w:val="28"/>
          <w:szCs w:val="28"/>
          <w:highlight w:val="none"/>
        </w:rPr>
        <w:instrText xml:space="preserve"> PAGEREF _Toc150765435 \h </w:instrText>
      </w:r>
      <w:r>
        <w:rPr>
          <w:rFonts w:ascii="宋体" w:hAnsi="宋体"/>
          <w:i w:val="0"/>
          <w:sz w:val="28"/>
          <w:szCs w:val="28"/>
          <w:highlight w:val="none"/>
        </w:rPr>
        <w:fldChar w:fldCharType="separate"/>
      </w:r>
      <w:r>
        <w:rPr>
          <w:rFonts w:ascii="宋体" w:hAnsi="宋体"/>
          <w:i w:val="0"/>
          <w:sz w:val="28"/>
          <w:szCs w:val="28"/>
          <w:highlight w:val="none"/>
        </w:rPr>
        <w:t xml:space="preserve">7</w:t>
      </w:r>
      <w:r>
        <w:rPr>
          <w:rFonts w:ascii="宋体" w:hAnsi="宋体"/>
          <w:i w:val="0"/>
          <w:sz w:val="28"/>
          <w:szCs w:val="28"/>
          <w:highlight w:val="none"/>
        </w:rPr>
        <w:fldChar w:fldCharType="end"/>
      </w:r>
      <w:r>
        <w:rPr>
          <w:rFonts w:ascii="宋体" w:hAnsi="宋体"/>
          <w:i w:val="0"/>
          <w:sz w:val="28"/>
          <w:szCs w:val="28"/>
          <w:highlight w:val="none"/>
        </w:rPr>
        <w:fldChar w:fldCharType="end"/>
      </w:r>
      <w:r/>
    </w:p>
    <w:p>
      <w:pPr>
        <w:pStyle w:val="903"/>
        <w:ind w:firstLine="482"/>
        <w:tabs>
          <w:tab w:val="right" w:pos="9628" w:leader="dot"/>
        </w:tabs>
        <w:rPr>
          <w:rFonts w:ascii="宋体" w:hAnsi="宋体" w:cstheme="minorBidi"/>
          <w:b w:val="0"/>
          <w:bCs w:val="0"/>
          <w:i w:val="0"/>
          <w:iCs w:val="0"/>
          <w:sz w:val="28"/>
          <w:szCs w:val="28"/>
          <w:highlight w:val="none"/>
        </w:rPr>
      </w:pPr>
      <w:r>
        <w:rPr>
          <w:highlight w:val="none"/>
        </w:rPr>
        <w:fldChar w:fldCharType="begin"/>
      </w:r>
      <w:r>
        <w:rPr>
          <w:highlight w:val="none"/>
        </w:rPr>
        <w:instrText xml:space="preserve"> HYPERLINK \l "_Toc150765436" </w:instrText>
      </w:r>
      <w:r>
        <w:rPr>
          <w:highlight w:val="none"/>
        </w:rPr>
        <w:fldChar w:fldCharType="separate"/>
      </w:r>
      <w:r>
        <w:rPr>
          <w:rStyle w:val="916"/>
          <w:rFonts w:hint="eastAsia" w:ascii="宋体" w:hAnsi="宋体"/>
          <w:i w:val="0"/>
          <w:color w:val="auto"/>
          <w:sz w:val="28"/>
          <w:szCs w:val="28"/>
          <w:highlight w:val="none"/>
        </w:rPr>
        <w:t xml:space="preserve">第三章政府采购合同格式</w:t>
      </w:r>
      <w:r>
        <w:rPr>
          <w:rFonts w:ascii="宋体" w:hAnsi="宋体"/>
          <w:i w:val="0"/>
          <w:sz w:val="28"/>
          <w:szCs w:val="28"/>
          <w:highlight w:val="none"/>
        </w:rPr>
        <w:tab/>
      </w:r>
      <w:r>
        <w:rPr>
          <w:rFonts w:ascii="宋体" w:hAnsi="宋体"/>
          <w:i w:val="0"/>
          <w:sz w:val="28"/>
          <w:szCs w:val="28"/>
          <w:highlight w:val="none"/>
        </w:rPr>
        <w:fldChar w:fldCharType="begin"/>
      </w:r>
      <w:r>
        <w:rPr>
          <w:rFonts w:ascii="宋体" w:hAnsi="宋体"/>
          <w:i w:val="0"/>
          <w:sz w:val="28"/>
          <w:szCs w:val="28"/>
          <w:highlight w:val="none"/>
        </w:rPr>
        <w:instrText xml:space="preserve"> PAGEREF _Toc150765436 \h </w:instrText>
      </w:r>
      <w:r>
        <w:rPr>
          <w:rFonts w:ascii="宋体" w:hAnsi="宋体"/>
          <w:i w:val="0"/>
          <w:sz w:val="28"/>
          <w:szCs w:val="28"/>
          <w:highlight w:val="none"/>
        </w:rPr>
        <w:fldChar w:fldCharType="separate"/>
      </w:r>
      <w:r>
        <w:rPr>
          <w:rFonts w:ascii="宋体" w:hAnsi="宋体"/>
          <w:i w:val="0"/>
          <w:sz w:val="28"/>
          <w:szCs w:val="28"/>
          <w:highlight w:val="none"/>
        </w:rPr>
        <w:t xml:space="preserve">21</w:t>
      </w:r>
      <w:r>
        <w:rPr>
          <w:rFonts w:ascii="宋体" w:hAnsi="宋体"/>
          <w:i w:val="0"/>
          <w:sz w:val="28"/>
          <w:szCs w:val="28"/>
          <w:highlight w:val="none"/>
        </w:rPr>
        <w:fldChar w:fldCharType="end"/>
      </w:r>
      <w:r>
        <w:rPr>
          <w:rFonts w:ascii="宋体" w:hAnsi="宋体"/>
          <w:i w:val="0"/>
          <w:sz w:val="28"/>
          <w:szCs w:val="28"/>
          <w:highlight w:val="none"/>
        </w:rPr>
        <w:fldChar w:fldCharType="end"/>
      </w:r>
      <w:r/>
    </w:p>
    <w:p>
      <w:pPr>
        <w:pStyle w:val="903"/>
        <w:ind w:firstLine="482"/>
        <w:tabs>
          <w:tab w:val="right" w:pos="9628" w:leader="dot"/>
        </w:tabs>
        <w:rPr>
          <w:rFonts w:ascii="宋体" w:hAnsi="宋体" w:cstheme="minorBidi"/>
          <w:b w:val="0"/>
          <w:bCs w:val="0"/>
          <w:i w:val="0"/>
          <w:iCs w:val="0"/>
          <w:sz w:val="28"/>
          <w:szCs w:val="28"/>
          <w:highlight w:val="none"/>
        </w:rPr>
      </w:pPr>
      <w:r>
        <w:rPr>
          <w:highlight w:val="none"/>
        </w:rPr>
        <w:fldChar w:fldCharType="begin"/>
      </w:r>
      <w:r>
        <w:rPr>
          <w:highlight w:val="none"/>
        </w:rPr>
        <w:instrText xml:space="preserve"> HYPERLINK \l "_Toc150765437" </w:instrText>
      </w:r>
      <w:r>
        <w:rPr>
          <w:highlight w:val="none"/>
        </w:rPr>
        <w:fldChar w:fldCharType="separate"/>
      </w:r>
      <w:r>
        <w:rPr>
          <w:rStyle w:val="916"/>
          <w:rFonts w:hint="eastAsia" w:ascii="宋体" w:hAnsi="宋体"/>
          <w:i w:val="0"/>
          <w:color w:val="auto"/>
          <w:sz w:val="28"/>
          <w:szCs w:val="28"/>
          <w:highlight w:val="none"/>
        </w:rPr>
        <w:t xml:space="preserve">第四章投标文件格式</w:t>
      </w:r>
      <w:r>
        <w:rPr>
          <w:rFonts w:ascii="宋体" w:hAnsi="宋体"/>
          <w:i w:val="0"/>
          <w:sz w:val="28"/>
          <w:szCs w:val="28"/>
          <w:highlight w:val="none"/>
        </w:rPr>
        <w:tab/>
      </w:r>
      <w:r>
        <w:rPr>
          <w:rFonts w:ascii="宋体" w:hAnsi="宋体"/>
          <w:i w:val="0"/>
          <w:sz w:val="28"/>
          <w:szCs w:val="28"/>
          <w:highlight w:val="none"/>
        </w:rPr>
        <w:fldChar w:fldCharType="begin"/>
      </w:r>
      <w:r>
        <w:rPr>
          <w:rFonts w:ascii="宋体" w:hAnsi="宋体"/>
          <w:i w:val="0"/>
          <w:sz w:val="28"/>
          <w:szCs w:val="28"/>
          <w:highlight w:val="none"/>
        </w:rPr>
        <w:instrText xml:space="preserve"> PAGEREF _Toc150765437 \h </w:instrText>
      </w:r>
      <w:r>
        <w:rPr>
          <w:rFonts w:ascii="宋体" w:hAnsi="宋体"/>
          <w:i w:val="0"/>
          <w:sz w:val="28"/>
          <w:szCs w:val="28"/>
          <w:highlight w:val="none"/>
        </w:rPr>
        <w:fldChar w:fldCharType="separate"/>
      </w:r>
      <w:r>
        <w:rPr>
          <w:rFonts w:ascii="宋体" w:hAnsi="宋体"/>
          <w:i w:val="0"/>
          <w:sz w:val="28"/>
          <w:szCs w:val="28"/>
          <w:highlight w:val="none"/>
        </w:rPr>
        <w:t xml:space="preserve">27</w:t>
      </w:r>
      <w:r>
        <w:rPr>
          <w:rFonts w:ascii="宋体" w:hAnsi="宋体"/>
          <w:i w:val="0"/>
          <w:sz w:val="28"/>
          <w:szCs w:val="28"/>
          <w:highlight w:val="none"/>
        </w:rPr>
        <w:fldChar w:fldCharType="end"/>
      </w:r>
      <w:r>
        <w:rPr>
          <w:rFonts w:ascii="宋体" w:hAnsi="宋体"/>
          <w:i w:val="0"/>
          <w:sz w:val="28"/>
          <w:szCs w:val="28"/>
          <w:highlight w:val="none"/>
        </w:rPr>
        <w:fldChar w:fldCharType="end"/>
      </w:r>
      <w:r/>
    </w:p>
    <w:p>
      <w:pPr>
        <w:pStyle w:val="903"/>
        <w:ind w:firstLine="482"/>
        <w:tabs>
          <w:tab w:val="right" w:pos="9628" w:leader="dot"/>
        </w:tabs>
        <w:rPr>
          <w:rFonts w:ascii="宋体" w:hAnsi="宋体" w:cstheme="minorBidi"/>
          <w:b w:val="0"/>
          <w:bCs w:val="0"/>
          <w:i w:val="0"/>
          <w:iCs w:val="0"/>
          <w:sz w:val="28"/>
          <w:szCs w:val="28"/>
          <w:highlight w:val="none"/>
        </w:rPr>
      </w:pPr>
      <w:r>
        <w:rPr>
          <w:highlight w:val="none"/>
        </w:rPr>
        <w:fldChar w:fldCharType="begin"/>
      </w:r>
      <w:r>
        <w:rPr>
          <w:highlight w:val="none"/>
        </w:rPr>
        <w:instrText xml:space="preserve"> HYPERLINK \l "_Toc150765438" </w:instrText>
      </w:r>
      <w:r>
        <w:rPr>
          <w:highlight w:val="none"/>
        </w:rPr>
        <w:fldChar w:fldCharType="separate"/>
      </w:r>
      <w:r>
        <w:rPr>
          <w:rStyle w:val="916"/>
          <w:rFonts w:hint="eastAsia" w:ascii="宋体" w:hAnsi="宋体"/>
          <w:i w:val="0"/>
          <w:color w:val="auto"/>
          <w:sz w:val="28"/>
          <w:szCs w:val="28"/>
          <w:highlight w:val="none"/>
        </w:rPr>
        <w:t xml:space="preserve">第五章合同专用条款表</w:t>
      </w:r>
      <w:r>
        <w:rPr>
          <w:rFonts w:ascii="宋体" w:hAnsi="宋体"/>
          <w:i w:val="0"/>
          <w:sz w:val="28"/>
          <w:szCs w:val="28"/>
          <w:highlight w:val="none"/>
        </w:rPr>
        <w:tab/>
      </w:r>
      <w:r>
        <w:rPr>
          <w:rFonts w:ascii="宋体" w:hAnsi="宋体"/>
          <w:i w:val="0"/>
          <w:sz w:val="28"/>
          <w:szCs w:val="28"/>
          <w:highlight w:val="none"/>
        </w:rPr>
        <w:fldChar w:fldCharType="begin"/>
      </w:r>
      <w:r>
        <w:rPr>
          <w:rFonts w:ascii="宋体" w:hAnsi="宋体"/>
          <w:i w:val="0"/>
          <w:sz w:val="28"/>
          <w:szCs w:val="28"/>
          <w:highlight w:val="none"/>
        </w:rPr>
        <w:instrText xml:space="preserve"> PAGEREF _Toc150765438 \h </w:instrText>
      </w:r>
      <w:r>
        <w:rPr>
          <w:rFonts w:ascii="宋体" w:hAnsi="宋体"/>
          <w:i w:val="0"/>
          <w:sz w:val="28"/>
          <w:szCs w:val="28"/>
          <w:highlight w:val="none"/>
        </w:rPr>
        <w:fldChar w:fldCharType="separate"/>
      </w:r>
      <w:r>
        <w:rPr>
          <w:rFonts w:ascii="宋体" w:hAnsi="宋体"/>
          <w:i w:val="0"/>
          <w:sz w:val="28"/>
          <w:szCs w:val="28"/>
          <w:highlight w:val="none"/>
        </w:rPr>
        <w:t xml:space="preserve">44</w:t>
      </w:r>
      <w:r>
        <w:rPr>
          <w:rFonts w:ascii="宋体" w:hAnsi="宋体"/>
          <w:i w:val="0"/>
          <w:sz w:val="28"/>
          <w:szCs w:val="28"/>
          <w:highlight w:val="none"/>
        </w:rPr>
        <w:fldChar w:fldCharType="end"/>
      </w:r>
      <w:r>
        <w:rPr>
          <w:rFonts w:ascii="宋体" w:hAnsi="宋体"/>
          <w:i w:val="0"/>
          <w:sz w:val="28"/>
          <w:szCs w:val="28"/>
          <w:highlight w:val="none"/>
        </w:rPr>
        <w:fldChar w:fldCharType="end"/>
      </w:r>
      <w:r/>
    </w:p>
    <w:p>
      <w:pPr>
        <w:pStyle w:val="903"/>
        <w:ind w:firstLine="482"/>
        <w:tabs>
          <w:tab w:val="right" w:pos="9628" w:leader="dot"/>
        </w:tabs>
        <w:rPr>
          <w:rFonts w:ascii="宋体" w:hAnsi="宋体" w:cstheme="minorBidi"/>
          <w:b w:val="0"/>
          <w:bCs w:val="0"/>
          <w:i w:val="0"/>
          <w:iCs w:val="0"/>
          <w:sz w:val="28"/>
          <w:szCs w:val="28"/>
          <w:highlight w:val="none"/>
        </w:rPr>
      </w:pPr>
      <w:r>
        <w:rPr>
          <w:highlight w:val="none"/>
        </w:rPr>
        <w:fldChar w:fldCharType="begin"/>
      </w:r>
      <w:r>
        <w:rPr>
          <w:highlight w:val="none"/>
        </w:rPr>
        <w:instrText xml:space="preserve"> HYPERLINK \l "_Toc150765439" </w:instrText>
      </w:r>
      <w:r>
        <w:rPr>
          <w:highlight w:val="none"/>
        </w:rPr>
        <w:fldChar w:fldCharType="separate"/>
      </w:r>
      <w:r>
        <w:rPr>
          <w:rStyle w:val="916"/>
          <w:rFonts w:hint="eastAsia" w:ascii="宋体" w:hAnsi="宋体"/>
          <w:i w:val="0"/>
          <w:color w:val="auto"/>
          <w:sz w:val="28"/>
          <w:szCs w:val="28"/>
          <w:highlight w:val="none"/>
        </w:rPr>
        <w:t xml:space="preserve">第六章项目需求</w:t>
      </w:r>
      <w:r>
        <w:rPr>
          <w:rFonts w:ascii="宋体" w:hAnsi="宋体"/>
          <w:i w:val="0"/>
          <w:sz w:val="28"/>
          <w:szCs w:val="28"/>
          <w:highlight w:val="none"/>
        </w:rPr>
        <w:tab/>
      </w:r>
      <w:r>
        <w:rPr>
          <w:rFonts w:ascii="宋体" w:hAnsi="宋体"/>
          <w:i w:val="0"/>
          <w:sz w:val="28"/>
          <w:szCs w:val="28"/>
          <w:highlight w:val="none"/>
        </w:rPr>
        <w:fldChar w:fldCharType="begin"/>
      </w:r>
      <w:r>
        <w:rPr>
          <w:rFonts w:ascii="宋体" w:hAnsi="宋体"/>
          <w:i w:val="0"/>
          <w:sz w:val="28"/>
          <w:szCs w:val="28"/>
          <w:highlight w:val="none"/>
        </w:rPr>
        <w:instrText xml:space="preserve"> PAGEREF _Toc150765439 \h </w:instrText>
      </w:r>
      <w:r>
        <w:rPr>
          <w:rFonts w:ascii="宋体" w:hAnsi="宋体"/>
          <w:i w:val="0"/>
          <w:sz w:val="28"/>
          <w:szCs w:val="28"/>
          <w:highlight w:val="none"/>
        </w:rPr>
        <w:fldChar w:fldCharType="separate"/>
      </w:r>
      <w:r>
        <w:rPr>
          <w:rFonts w:ascii="宋体" w:hAnsi="宋体"/>
          <w:i w:val="0"/>
          <w:sz w:val="28"/>
          <w:szCs w:val="28"/>
          <w:highlight w:val="none"/>
        </w:rPr>
        <w:t xml:space="preserve">45</w:t>
      </w:r>
      <w:r>
        <w:rPr>
          <w:rFonts w:ascii="宋体" w:hAnsi="宋体"/>
          <w:i w:val="0"/>
          <w:sz w:val="28"/>
          <w:szCs w:val="28"/>
          <w:highlight w:val="none"/>
        </w:rPr>
        <w:fldChar w:fldCharType="end"/>
      </w:r>
      <w:r>
        <w:rPr>
          <w:rFonts w:ascii="宋体" w:hAnsi="宋体"/>
          <w:i w:val="0"/>
          <w:sz w:val="28"/>
          <w:szCs w:val="28"/>
          <w:highlight w:val="none"/>
        </w:rPr>
        <w:fldChar w:fldCharType="end"/>
      </w:r>
      <w:r/>
    </w:p>
    <w:p>
      <w:pPr>
        <w:pStyle w:val="903"/>
        <w:ind w:firstLine="482"/>
        <w:tabs>
          <w:tab w:val="right" w:pos="9628" w:leader="dot"/>
        </w:tabs>
        <w:rPr>
          <w:rFonts w:ascii="宋体" w:hAnsi="宋体" w:cstheme="minorBidi"/>
          <w:b w:val="0"/>
          <w:bCs w:val="0"/>
          <w:i w:val="0"/>
          <w:iCs w:val="0"/>
          <w:sz w:val="28"/>
          <w:szCs w:val="28"/>
          <w:highlight w:val="none"/>
        </w:rPr>
      </w:pPr>
      <w:r>
        <w:rPr>
          <w:highlight w:val="none"/>
        </w:rPr>
        <w:fldChar w:fldCharType="begin"/>
      </w:r>
      <w:r>
        <w:rPr>
          <w:highlight w:val="none"/>
        </w:rPr>
        <w:instrText xml:space="preserve"> HYPERLINK \l "_Toc150765440" </w:instrText>
      </w:r>
      <w:r>
        <w:rPr>
          <w:highlight w:val="none"/>
        </w:rPr>
        <w:fldChar w:fldCharType="separate"/>
      </w:r>
      <w:r>
        <w:rPr>
          <w:rStyle w:val="916"/>
          <w:rFonts w:hint="eastAsia" w:ascii="宋体" w:hAnsi="宋体"/>
          <w:i w:val="0"/>
          <w:color w:val="auto"/>
          <w:sz w:val="28"/>
          <w:szCs w:val="28"/>
          <w:highlight w:val="none"/>
        </w:rPr>
        <w:t xml:space="preserve">第七章评标办法</w:t>
      </w:r>
      <w:r>
        <w:rPr>
          <w:rFonts w:ascii="宋体" w:hAnsi="宋体"/>
          <w:i w:val="0"/>
          <w:sz w:val="28"/>
          <w:szCs w:val="28"/>
          <w:highlight w:val="none"/>
        </w:rPr>
        <w:tab/>
      </w:r>
      <w:r>
        <w:rPr>
          <w:rFonts w:ascii="宋体" w:hAnsi="宋体"/>
          <w:i w:val="0"/>
          <w:sz w:val="28"/>
          <w:szCs w:val="28"/>
          <w:highlight w:val="none"/>
        </w:rPr>
        <w:fldChar w:fldCharType="begin"/>
      </w:r>
      <w:r>
        <w:rPr>
          <w:rFonts w:ascii="宋体" w:hAnsi="宋体"/>
          <w:i w:val="0"/>
          <w:sz w:val="28"/>
          <w:szCs w:val="28"/>
          <w:highlight w:val="none"/>
        </w:rPr>
        <w:instrText xml:space="preserve"> PAGEREF _Toc150765440 \h </w:instrText>
      </w:r>
      <w:r>
        <w:rPr>
          <w:rFonts w:ascii="宋体" w:hAnsi="宋体"/>
          <w:i w:val="0"/>
          <w:sz w:val="28"/>
          <w:szCs w:val="28"/>
          <w:highlight w:val="none"/>
        </w:rPr>
        <w:fldChar w:fldCharType="separate"/>
      </w:r>
      <w:r>
        <w:rPr>
          <w:rFonts w:ascii="宋体" w:hAnsi="宋体"/>
          <w:i w:val="0"/>
          <w:sz w:val="28"/>
          <w:szCs w:val="28"/>
          <w:highlight w:val="none"/>
        </w:rPr>
        <w:t xml:space="preserve">50</w:t>
      </w:r>
      <w:r>
        <w:rPr>
          <w:rFonts w:ascii="宋体" w:hAnsi="宋体"/>
          <w:i w:val="0"/>
          <w:sz w:val="28"/>
          <w:szCs w:val="28"/>
          <w:highlight w:val="none"/>
        </w:rPr>
        <w:fldChar w:fldCharType="end"/>
      </w:r>
      <w:r>
        <w:rPr>
          <w:rFonts w:ascii="宋体" w:hAnsi="宋体"/>
          <w:i w:val="0"/>
          <w:sz w:val="28"/>
          <w:szCs w:val="28"/>
          <w:highlight w:val="none"/>
        </w:rPr>
        <w:fldChar w:fldCharType="end"/>
      </w:r>
      <w:r/>
    </w:p>
    <w:p>
      <w:pPr>
        <w:spacing w:line="360" w:lineRule="auto"/>
        <w:tabs>
          <w:tab w:val="right" w:pos="9638" w:leader="dot"/>
        </w:tabs>
        <w:rPr>
          <w:rFonts w:ascii="宋体" w:hAnsi="宋体" w:eastAsia="宋体" w:cs="Times New Roman"/>
          <w:sz w:val="44"/>
          <w:szCs w:val="20"/>
          <w:highlight w:val="none"/>
        </w:rPr>
      </w:pPr>
      <w:r>
        <w:rPr>
          <w:rFonts w:hint="eastAsia" w:ascii="宋体" w:hAnsi="宋体" w:eastAsia="宋体" w:cs="Times New Roman"/>
          <w:b/>
          <w:bCs/>
          <w:sz w:val="28"/>
          <w:szCs w:val="28"/>
          <w:highlight w:val="none"/>
        </w:rPr>
        <w:fldChar w:fldCharType="end"/>
      </w:r>
      <w:r/>
    </w:p>
    <w:p>
      <w:pPr>
        <w:jc w:val="center"/>
        <w:keepLines/>
        <w:keepNext/>
        <w:spacing w:line="360" w:lineRule="auto"/>
        <w:rPr>
          <w:rFonts w:ascii="Times New Roman" w:hAnsi="宋体" w:eastAsia="黑体" w:cs="Times New Roman"/>
          <w:sz w:val="36"/>
          <w:szCs w:val="20"/>
          <w:highlight w:val="none"/>
        </w:rPr>
        <w:outlineLvl w:val="0"/>
      </w:pPr>
      <w:r/>
      <w:bookmarkStart w:id="1" w:name="_Toc139967210"/>
      <w:r/>
      <w:bookmarkStart w:id="2" w:name="_Toc139966426"/>
      <w:r>
        <w:rPr>
          <w:rFonts w:ascii="Times New Roman" w:hAnsi="宋体" w:eastAsia="黑体" w:cs="Times New Roman"/>
          <w:sz w:val="36"/>
          <w:szCs w:val="20"/>
          <w:highlight w:val="none"/>
        </w:rPr>
        <w:br w:type="page" w:clear="all"/>
      </w:r>
      <w:bookmarkStart w:id="3" w:name="_Toc150765434"/>
      <w:r/>
      <w:bookmarkStart w:id="4" w:name="_Toc513622226"/>
      <w:r>
        <w:rPr>
          <w:rFonts w:hint="eastAsia" w:ascii="Times New Roman" w:hAnsi="宋体" w:eastAsia="黑体" w:cs="Times New Roman"/>
          <w:sz w:val="36"/>
          <w:szCs w:val="20"/>
          <w:highlight w:val="none"/>
        </w:rPr>
        <w:t xml:space="preserve">第一章投标邀请</w:t>
      </w:r>
      <w:bookmarkEnd w:id="3"/>
      <w:r/>
      <w:bookmarkEnd w:id="4"/>
      <w:r/>
      <w:r/>
    </w:p>
    <w:p>
      <w:pPr>
        <w:ind w:firstLine="420"/>
        <w:spacing w:line="36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r>
      <w:r/>
    </w:p>
    <w:tbl>
      <w:tblPr>
        <w:tblStyle w:val="88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项目概况</w:t>
            </w:r>
            <w:r/>
          </w:p>
          <w:p>
            <w:pPr>
              <w:ind w:firstLine="480"/>
              <w:spacing w:line="360" w:lineRule="auto"/>
              <w:rPr>
                <w:rFonts w:ascii="宋体" w:hAnsi="宋体" w:eastAsia="宋体" w:cs="Times New Roman"/>
                <w:szCs w:val="24"/>
                <w:highlight w:val="none"/>
              </w:rPr>
            </w:pPr>
            <w:r>
              <w:rPr>
                <w:rFonts w:hint="eastAsia" w:ascii="宋体" w:hAnsi="宋体" w:eastAsia="宋体" w:cs="Times New Roman"/>
                <w:bCs/>
                <w:sz w:val="24"/>
                <w:szCs w:val="24"/>
                <w:highlight w:val="none"/>
                <w:u w:val="single"/>
                <w:lang w:eastAsia="zh-CN"/>
              </w:rPr>
              <w:t xml:space="preserve">新海初级中学智慧教室</w:t>
            </w:r>
            <w:r>
              <w:rPr>
                <w:rFonts w:hint="eastAsia" w:ascii="宋体" w:hAnsi="宋体" w:eastAsia="宋体" w:cs="Times New Roman"/>
                <w:sz w:val="24"/>
                <w:szCs w:val="24"/>
                <w:highlight w:val="none"/>
              </w:rPr>
              <w:t xml:space="preserve">招标项目的潜在投标人应在</w:t>
            </w:r>
            <w:r>
              <w:rPr>
                <w:rFonts w:hint="eastAsia" w:ascii="宋体" w:hAnsi="宋体" w:eastAsia="宋体" w:cs="宋体"/>
                <w:sz w:val="24"/>
                <w:szCs w:val="24"/>
                <w:highlight w:val="none"/>
                <w:u w:val="single"/>
              </w:rPr>
              <w:t xml:space="preserve">江苏政府采购网</w:t>
            </w:r>
            <w:r>
              <w:rPr>
                <w:rFonts w:hint="eastAsia" w:ascii="宋体" w:hAnsi="宋体" w:eastAsia="宋体" w:cs="Times New Roman"/>
                <w:sz w:val="24"/>
                <w:szCs w:val="24"/>
                <w:highlight w:val="none"/>
              </w:rPr>
              <w:t xml:space="preserve">获取招标文件，并于</w:t>
            </w:r>
            <w:r>
              <w:rPr>
                <w:rFonts w:hint="eastAsia" w:ascii="宋体" w:hAnsi="宋体" w:eastAsia="宋体" w:cs="Times New Roman"/>
                <w:sz w:val="24"/>
                <w:szCs w:val="24"/>
                <w:highlight w:val="none"/>
                <w:u w:val="single"/>
              </w:rPr>
              <w:t xml:space="preserve">202</w:t>
            </w:r>
            <w:r>
              <w:rPr>
                <w:rFonts w:hint="eastAsia" w:ascii="宋体" w:hAnsi="宋体" w:eastAsia="宋体" w:cs="Times New Roman"/>
                <w:sz w:val="24"/>
                <w:szCs w:val="24"/>
                <w:highlight w:val="none"/>
                <w:u w:val="single"/>
                <w:lang w:val="en-US" w:eastAsia="zh-CN"/>
              </w:rPr>
              <w:t xml:space="preserve">5</w:t>
            </w:r>
            <w:r>
              <w:rPr>
                <w:rFonts w:hint="eastAsia" w:ascii="宋体" w:hAnsi="宋体" w:eastAsia="宋体" w:cs="Times New Roman"/>
                <w:sz w:val="24"/>
                <w:szCs w:val="24"/>
                <w:highlight w:val="none"/>
                <w:u w:val="single"/>
              </w:rPr>
              <w:t xml:space="preserve">年</w:t>
            </w:r>
            <w:r>
              <w:rPr>
                <w:rFonts w:hint="eastAsia" w:ascii="宋体" w:hAnsi="宋体" w:eastAsia="宋体" w:cs="Times New Roman"/>
                <w:sz w:val="24"/>
                <w:szCs w:val="24"/>
                <w:highlight w:val="none"/>
                <w:u w:val="single"/>
                <w:lang w:val="en-US" w:eastAsia="zh-CN"/>
              </w:rPr>
              <w:t xml:space="preserve">12</w:t>
            </w:r>
            <w:r>
              <w:rPr>
                <w:rFonts w:hint="eastAsia" w:ascii="宋体" w:hAnsi="宋体" w:eastAsia="宋体" w:cs="Times New Roman"/>
                <w:sz w:val="24"/>
                <w:szCs w:val="24"/>
                <w:highlight w:val="none"/>
                <w:u w:val="single"/>
              </w:rPr>
              <w:t xml:space="preserve">月</w:t>
            </w:r>
            <w:r>
              <w:rPr>
                <w:rFonts w:hint="eastAsia" w:ascii="宋体" w:hAnsi="宋体" w:eastAsia="宋体" w:cs="Times New Roman"/>
                <w:sz w:val="24"/>
                <w:szCs w:val="24"/>
                <w:highlight w:val="none"/>
                <w:u w:val="single"/>
                <w:lang w:val="en-US" w:eastAsia="zh-CN"/>
              </w:rPr>
              <w:t xml:space="preserve">03</w:t>
            </w:r>
            <w:r>
              <w:rPr>
                <w:rFonts w:hint="eastAsia" w:ascii="宋体" w:hAnsi="宋体" w:eastAsia="宋体" w:cs="Times New Roman"/>
                <w:sz w:val="24"/>
                <w:szCs w:val="24"/>
                <w:highlight w:val="none"/>
                <w:u w:val="single"/>
              </w:rPr>
              <w:t xml:space="preserve">日9点</w:t>
            </w:r>
            <w:r>
              <w:rPr>
                <w:rFonts w:hint="eastAsia" w:ascii="宋体" w:hAnsi="宋体" w:eastAsia="宋体" w:cs="Times New Roman"/>
                <w:bCs/>
                <w:sz w:val="24"/>
                <w:szCs w:val="24"/>
                <w:highlight w:val="none"/>
                <w:u w:val="single"/>
              </w:rPr>
              <w:t xml:space="preserve">00分00秒</w:t>
            </w:r>
            <w:r>
              <w:rPr>
                <w:rFonts w:hint="eastAsia" w:ascii="宋体" w:hAnsi="宋体" w:eastAsia="宋体" w:cs="Times New Roman"/>
                <w:sz w:val="24"/>
                <w:szCs w:val="24"/>
                <w:highlight w:val="none"/>
              </w:rPr>
              <w:t xml:space="preserve">（北京时间）前</w:t>
            </w:r>
            <w:r>
              <w:rPr>
                <w:rFonts w:hint="eastAsia" w:ascii="宋体" w:hAnsi="宋体" w:eastAsia="宋体" w:cs="Times New Roman"/>
                <w:b/>
                <w:sz w:val="24"/>
                <w:szCs w:val="24"/>
                <w:highlight w:val="none"/>
              </w:rPr>
              <w:t xml:space="preserve">上传电子投标文件</w:t>
            </w:r>
            <w:r>
              <w:rPr>
                <w:rFonts w:hint="eastAsia" w:ascii="宋体" w:hAnsi="宋体" w:eastAsia="宋体" w:cs="Times New Roman"/>
                <w:sz w:val="24"/>
                <w:szCs w:val="24"/>
                <w:highlight w:val="none"/>
              </w:rPr>
              <w:t xml:space="preserve">。</w:t>
            </w:r>
            <w:r/>
          </w:p>
        </w:tc>
      </w:tr>
    </w:tbl>
    <w:p>
      <w:pPr>
        <w:spacing w:line="360" w:lineRule="auto"/>
        <w:rPr>
          <w:rFonts w:ascii="宋体" w:hAnsi="宋体" w:eastAsia="宋体" w:cs="Times New Roman"/>
          <w:szCs w:val="24"/>
          <w:highlight w:val="none"/>
        </w:rPr>
      </w:pPr>
      <w:r>
        <w:rPr>
          <w:rFonts w:ascii="宋体" w:hAnsi="宋体" w:eastAsia="宋体" w:cs="Times New Roman"/>
          <w:szCs w:val="24"/>
          <w:highlight w:val="none"/>
        </w:rPr>
      </w:r>
      <w:r/>
    </w:p>
    <w:p>
      <w:pPr>
        <w:keepNext/>
        <w:spacing w:line="360" w:lineRule="auto"/>
        <w:rPr>
          <w:rFonts w:ascii="Times New Roman" w:hAnsi="Times New Roman" w:eastAsia="黑体" w:cs="Times New Roman"/>
          <w:b/>
          <w:sz w:val="28"/>
          <w:szCs w:val="20"/>
          <w:highlight w:val="none"/>
        </w:rPr>
        <w:outlineLvl w:val="1"/>
      </w:pPr>
      <w:r>
        <w:rPr>
          <w:rFonts w:hint="eastAsia" w:ascii="Times New Roman" w:hAnsi="Times New Roman" w:eastAsia="黑体" w:cs="Times New Roman"/>
          <w:b/>
          <w:sz w:val="28"/>
          <w:szCs w:val="20"/>
          <w:highlight w:val="none"/>
        </w:rPr>
        <w:t xml:space="preserve">一、项目基本情况</w:t>
      </w:r>
      <w:r/>
    </w:p>
    <w:p>
      <w:pPr>
        <w:ind w:firstLine="48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标段编号：</w:t>
      </w:r>
      <w:r>
        <w:rPr>
          <w:rFonts w:hint="eastAsia" w:ascii="宋体" w:hAnsi="宋体" w:eastAsia="宋体" w:cs="Times New Roman"/>
          <w:sz w:val="24"/>
          <w:szCs w:val="24"/>
          <w:highlight w:val="none"/>
          <w:lang w:val="en-US" w:eastAsia="zh-CN"/>
        </w:rPr>
        <w:t xml:space="preserve">JSZC-320700-JSJY-G2025-0056</w:t>
      </w:r>
      <w:r/>
    </w:p>
    <w:p>
      <w:pPr>
        <w:ind w:firstLine="480"/>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标段名称：</w:t>
      </w:r>
      <w:r>
        <w:rPr>
          <w:rFonts w:hint="eastAsia" w:ascii="宋体" w:hAnsi="宋体" w:eastAsia="宋体" w:cs="Times New Roman"/>
          <w:bCs/>
          <w:sz w:val="24"/>
          <w:szCs w:val="24"/>
          <w:highlight w:val="none"/>
          <w:lang w:eastAsia="zh-CN"/>
        </w:rPr>
        <w:t xml:space="preserve">新海初级中学智慧教室</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预算金额：</w:t>
      </w:r>
      <w:r>
        <w:rPr>
          <w:rFonts w:hint="eastAsia" w:ascii="宋体" w:hAnsi="宋体" w:eastAsia="宋体" w:cs="Times New Roman"/>
          <w:b/>
          <w:sz w:val="24"/>
          <w:szCs w:val="24"/>
          <w:highlight w:val="none"/>
          <w:lang w:val="en-US" w:eastAsia="zh-CN"/>
        </w:rPr>
        <w:t xml:space="preserve">110</w:t>
      </w:r>
      <w:r>
        <w:rPr>
          <w:rFonts w:hint="eastAsia" w:ascii="宋体" w:hAnsi="宋体" w:eastAsia="宋体" w:cs="Times New Roman"/>
          <w:sz w:val="24"/>
          <w:szCs w:val="24"/>
          <w:highlight w:val="none"/>
        </w:rPr>
        <w:t xml:space="preserve">万元。</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最高限价：</w:t>
      </w:r>
      <w:r>
        <w:rPr>
          <w:rFonts w:hint="eastAsia" w:ascii="宋体" w:hAnsi="宋体" w:eastAsia="宋体" w:cs="Times New Roman"/>
          <w:sz w:val="24"/>
          <w:szCs w:val="24"/>
          <w:highlight w:val="none"/>
          <w:lang w:val="en-US" w:eastAsia="zh-CN"/>
        </w:rPr>
        <w:t xml:space="preserve">110</w:t>
      </w:r>
      <w:r>
        <w:rPr>
          <w:rFonts w:hint="eastAsia" w:ascii="宋体" w:hAnsi="宋体" w:cs="Times New Roman"/>
          <w:sz w:val="24"/>
          <w:szCs w:val="24"/>
          <w:highlight w:val="none"/>
        </w:rPr>
        <w:t xml:space="preserve">万元人民币，投标报价超出最高限价的按无效响应处理</w:t>
      </w:r>
      <w:r>
        <w:rPr>
          <w:rFonts w:hint="eastAsia" w:ascii="宋体" w:hAnsi="宋体" w:eastAsia="宋体" w:cs="Times New Roman"/>
          <w:sz w:val="24"/>
          <w:szCs w:val="24"/>
          <w:highlight w:val="none"/>
        </w:rPr>
        <w:t xml:space="preserve">。</w:t>
      </w:r>
      <w:r/>
    </w:p>
    <w:p>
      <w:pPr>
        <w:ind w:left="42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采购需求：</w:t>
      </w:r>
      <w:r>
        <w:rPr>
          <w:rFonts w:hint="eastAsia" w:ascii="宋体" w:hAnsi="宋体" w:eastAsia="宋体" w:cs="Times New Roman"/>
          <w:sz w:val="24"/>
          <w:szCs w:val="24"/>
          <w:highlight w:val="none"/>
          <w:lang w:eastAsia="zh-CN"/>
        </w:rPr>
        <w:t xml:space="preserve">新海初级中学智慧教室</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具体</w:t>
      </w:r>
      <w:r>
        <w:rPr>
          <w:rFonts w:hint="eastAsia" w:ascii="宋体" w:hAnsi="宋体" w:eastAsia="宋体" w:cs="Times New Roman"/>
          <w:sz w:val="24"/>
          <w:szCs w:val="24"/>
          <w:highlight w:val="none"/>
        </w:rPr>
        <w:t xml:space="preserve">详见项目需求</w:t>
      </w:r>
      <w:r>
        <w:rPr>
          <w:rFonts w:hint="eastAsia" w:ascii="宋体" w:hAnsi="宋体" w:eastAsia="宋体" w:cs="微软雅黑"/>
          <w:sz w:val="24"/>
          <w:szCs w:val="24"/>
          <w:highlight w:val="none"/>
        </w:rPr>
        <w:t xml:space="preserve">。</w:t>
      </w:r>
      <w:r/>
    </w:p>
    <w:p>
      <w:pPr>
        <w:ind w:firstLine="482"/>
        <w:spacing w:line="360" w:lineRule="auto"/>
        <w:rPr>
          <w:rFonts w:ascii="宋体" w:hAnsi="宋体" w:eastAsia="宋体" w:cs="Times New Roman"/>
          <w:sz w:val="24"/>
          <w:szCs w:val="24"/>
          <w:highlight w:val="none"/>
        </w:rPr>
      </w:pPr>
      <w:r>
        <w:rPr>
          <w:rFonts w:hint="eastAsia" w:ascii="宋体" w:hAnsi="宋体" w:eastAsia="宋体" w:cs="Times New Roman"/>
          <w:b/>
          <w:bCs/>
          <w:sz w:val="24"/>
          <w:szCs w:val="24"/>
          <w:highlight w:val="none"/>
        </w:rPr>
        <w:t xml:space="preserve">对项目采购需求部分的询问、质疑请与采购人联系，由采购人负责答复。</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合同履行期限（</w:t>
      </w:r>
      <w:r>
        <w:rPr>
          <w:rFonts w:ascii="宋体" w:hAnsi="宋体" w:eastAsia="宋体" w:cs="Times New Roman"/>
          <w:sz w:val="24"/>
          <w:szCs w:val="24"/>
          <w:highlight w:val="none"/>
        </w:rPr>
        <w:t xml:space="preserve">交货期</w:t>
      </w:r>
      <w:r>
        <w:rPr>
          <w:rFonts w:hint="eastAsia" w:ascii="宋体" w:hAnsi="宋体" w:eastAsia="宋体" w:cs="Times New Roman"/>
          <w:sz w:val="24"/>
          <w:szCs w:val="24"/>
          <w:highlight w:val="none"/>
        </w:rPr>
        <w:t xml:space="preserve">）：合同签订后 </w:t>
      </w:r>
      <w:r>
        <w:rPr>
          <w:rFonts w:hint="eastAsia" w:ascii="宋体" w:hAnsi="宋体" w:eastAsia="宋体" w:cs="Times New Roman"/>
          <w:sz w:val="24"/>
          <w:szCs w:val="24"/>
          <w:highlight w:val="none"/>
          <w:lang w:val="en-US" w:eastAsia="zh-CN"/>
        </w:rPr>
        <w:t xml:space="preserve">60</w:t>
      </w:r>
      <w:r>
        <w:rPr>
          <w:rFonts w:hint="eastAsia" w:ascii="宋体" w:hAnsi="宋体" w:eastAsia="宋体" w:cs="Times New Roman"/>
          <w:sz w:val="24"/>
          <w:szCs w:val="24"/>
          <w:highlight w:val="none"/>
        </w:rPr>
        <w:t xml:space="preserve"> 日内完成安装调试，达到预期效果；</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本项目（是/否√）接受联合体投标。</w:t>
      </w:r>
      <w:r/>
    </w:p>
    <w:p>
      <w:pPr>
        <w:keepNext/>
        <w:spacing w:line="360" w:lineRule="auto"/>
        <w:rPr>
          <w:rFonts w:ascii="Times New Roman" w:hAnsi="Times New Roman" w:eastAsia="黑体" w:cs="Times New Roman"/>
          <w:b/>
          <w:sz w:val="28"/>
          <w:szCs w:val="20"/>
          <w:highlight w:val="none"/>
        </w:rPr>
        <w:outlineLvl w:val="1"/>
      </w:pPr>
      <w:r>
        <w:rPr>
          <w:rFonts w:hint="eastAsia" w:ascii="Times New Roman" w:hAnsi="Times New Roman" w:eastAsia="黑体" w:cs="Times New Roman"/>
          <w:b/>
          <w:sz w:val="28"/>
          <w:szCs w:val="20"/>
          <w:highlight w:val="none"/>
        </w:rPr>
        <w:t xml:space="preserve">二、申请人的资格要求</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1.满足《中华人民共和国政府采购法》第二十二条规定，提供下列材料：</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（1）法人或者其他组织的营业执照等证明文件，自然人的身份证明；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上一年度的财务状况报告或银行出具的资信证明,成立不满一个年度的不需提供。（按连财购〔2023〕4号文件要求，符合要求的可提交《财务状况报告及税收、社会保障资金缴纳情况承诺函》，格式详见招标文件）； </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（3）依法缴纳税收和社会保障资金的相关证明材料（按连财购〔2023〕4号文件要求，符合要求的可提交《财务状况报告及税收、社会保障资金缴纳情况承诺函》，格式详见招标文件）；</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（4）具备履行合同所必需的设备和专业技术能力的声明及证明材料；</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（5）参加政府采购活动前三年内在经营活动中没有重大违法记录的书面声明。</w:t>
      </w:r>
      <w:r/>
    </w:p>
    <w:p>
      <w:pPr>
        <w:ind w:firstLine="482"/>
        <w:jc w:val="left"/>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2.落实政府采购政策需满足的资格要求：</w:t>
      </w:r>
      <w:r>
        <w:rPr>
          <w:rFonts w:hint="eastAsia" w:ascii="宋体" w:hAnsi="宋体" w:eastAsia="宋体" w:cs="Times New Roman"/>
          <w:b/>
          <w:sz w:val="24"/>
          <w:szCs w:val="24"/>
          <w:highlight w:val="none"/>
          <w:lang w:val="en-US" w:eastAsia="zh-CN"/>
        </w:rPr>
        <w:t xml:space="preserve">无</w:t>
      </w:r>
      <w:r>
        <w:rPr>
          <w:rFonts w:hint="eastAsia" w:ascii="宋体" w:hAnsi="宋体" w:eastAsia="宋体" w:cs="Times New Roman"/>
          <w:b/>
          <w:sz w:val="24"/>
          <w:szCs w:val="24"/>
          <w:highlight w:val="none"/>
        </w:rPr>
        <w:t xml:space="preserve">。</w:t>
      </w:r>
      <w:r/>
    </w:p>
    <w:p>
      <w:pPr>
        <w:ind w:firstLine="482"/>
        <w:jc w:val="left"/>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3.本项目的特定资格要求：无。</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4.本项目的其他资格要求：</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备注：采购人或采购代理机构通过信用中国网站（www.creditchina.gov.cn）、中国政府采购网（www.ccgp.gov.cn），对供应商信用记录情况进行查询。</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（2）本项目</w:t>
      </w:r>
      <w:r>
        <w:rPr>
          <w:rFonts w:hint="eastAsia" w:ascii="宋体" w:hAnsi="宋体" w:eastAsia="宋体" w:cs="Times New Roman"/>
          <w:b/>
          <w:sz w:val="24"/>
          <w:szCs w:val="24"/>
          <w:highlight w:val="none"/>
          <w:lang w:val="en-US" w:eastAsia="zh-CN"/>
        </w:rPr>
        <w:t xml:space="preserve">不</w:t>
      </w:r>
      <w:r>
        <w:rPr>
          <w:rFonts w:hint="eastAsia" w:ascii="宋体" w:hAnsi="宋体" w:eastAsia="宋体" w:cs="Times New Roman"/>
          <w:b/>
          <w:sz w:val="24"/>
          <w:szCs w:val="24"/>
          <w:highlight w:val="none"/>
        </w:rPr>
        <w:t xml:space="preserve">接受进口产品</w:t>
      </w:r>
      <w:r>
        <w:rPr>
          <w:rFonts w:hint="eastAsia" w:ascii="宋体" w:hAnsi="宋体" w:eastAsia="宋体" w:cs="Times New Roman"/>
          <w:sz w:val="24"/>
          <w:szCs w:val="24"/>
          <w:highlight w:val="none"/>
        </w:rPr>
        <w:t xml:space="preserve">（进口产品是指通过中国海关报关验放进入中国境内且产自关境外的产品），中标后不允许分包或转包。</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5.法律法规规定的其他条件。</w:t>
      </w:r>
      <w:r/>
    </w:p>
    <w:p>
      <w:pPr>
        <w:keepNext/>
        <w:spacing w:line="360" w:lineRule="auto"/>
        <w:rPr>
          <w:rFonts w:ascii="Times New Roman" w:hAnsi="Times New Roman" w:eastAsia="黑体" w:cs="Times New Roman"/>
          <w:b/>
          <w:sz w:val="28"/>
          <w:szCs w:val="20"/>
          <w:highlight w:val="none"/>
        </w:rPr>
        <w:outlineLvl w:val="1"/>
      </w:pPr>
      <w:r>
        <w:rPr>
          <w:rFonts w:hint="eastAsia" w:ascii="Times New Roman" w:hAnsi="Times New Roman" w:eastAsia="黑体" w:cs="Times New Roman"/>
          <w:b/>
          <w:sz w:val="28"/>
          <w:szCs w:val="20"/>
          <w:highlight w:val="none"/>
        </w:rPr>
        <w:t xml:space="preserve">三、获取招标文件</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1．时间：202</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lang w:val="en-US" w:eastAsia="zh-CN"/>
        </w:rPr>
        <w:t xml:space="preserve">11</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lang w:val="en-US" w:eastAsia="zh-CN"/>
        </w:rPr>
        <w:t xml:space="preserve">11</w:t>
      </w:r>
      <w:r>
        <w:rPr>
          <w:rFonts w:hint="eastAsia" w:ascii="宋体" w:hAnsi="宋体" w:eastAsia="宋体" w:cs="Times New Roman"/>
          <w:sz w:val="24"/>
          <w:szCs w:val="24"/>
          <w:highlight w:val="none"/>
        </w:rPr>
        <w:t xml:space="preserve">日至202</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lang w:val="en-US" w:eastAsia="zh-CN"/>
        </w:rPr>
        <w:t xml:space="preserve">11</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lang w:val="en-US" w:eastAsia="zh-CN"/>
        </w:rPr>
        <w:t xml:space="preserve">18</w:t>
      </w:r>
      <w:r>
        <w:rPr>
          <w:rFonts w:hint="eastAsia" w:ascii="宋体" w:hAnsi="宋体" w:eastAsia="宋体" w:cs="Times New Roman"/>
          <w:sz w:val="24"/>
          <w:szCs w:val="24"/>
          <w:highlight w:val="none"/>
        </w:rPr>
        <w:t xml:space="preserve">日</w:t>
      </w:r>
      <w:r>
        <w:rPr>
          <w:rFonts w:hint="eastAsia" w:ascii="宋体" w:hAnsi="宋体"/>
          <w:sz w:val="24"/>
          <w:highlight w:val="none"/>
        </w:rPr>
        <w:t xml:space="preserve">23:59止（北京时间）</w:t>
      </w:r>
      <w:r>
        <w:rPr>
          <w:rFonts w:hint="eastAsia" w:ascii="宋体" w:hAnsi="宋体" w:eastAsia="宋体" w:cs="Times New Roman"/>
          <w:sz w:val="24"/>
          <w:szCs w:val="24"/>
          <w:highlight w:val="none"/>
        </w:rPr>
        <w:t xml:space="preserve">。</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2．获取方式：本项目采用网上注册登记方式。</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2.1潜在投标人访问电子招标投标交易平台的网络地址和方法：</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（1）“苏采云”系统用户注册--获取“CA数字证书”--CA绑定与登录--网上报名--下载采购文件（后缀名为“.kedt”）--将后缀名为“.kedt”的</w:t>
      </w:r>
      <w:bookmarkStart w:id="35" w:name="_GoBack"/>
      <w:r/>
      <w:bookmarkEnd w:id="35"/>
      <w:r>
        <w:rPr>
          <w:rFonts w:hint="eastAsia" w:ascii="宋体" w:hAnsi="宋体" w:eastAsia="宋体" w:cs="Times New Roman"/>
          <w:sz w:val="24"/>
          <w:szCs w:val="24"/>
          <w:highlight w:val="none"/>
        </w:rPr>
        <w:t xml:space="preserve">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（2）潜在供应商访问“苏采云”系统的网络地址和方法：</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“苏采云”系统的网址：http://jszfcg.jsczt.cn/。</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（3）“CA数字证书”的获取：</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供应商需办理CA锁，“苏采云”系统目前仅支持“苏采云”系统下的政务CA，省内各地区办理的“苏采云”系统下的政务CA全省通用。“CA数字证书”的办理材料详见“</w:t>
      </w:r>
      <w:r>
        <w:rPr>
          <w:rFonts w:ascii="宋体" w:hAnsi="宋体" w:eastAsia="宋体" w:cs="Times New Roman"/>
          <w:sz w:val="24"/>
          <w:szCs w:val="24"/>
          <w:highlight w:val="none"/>
        </w:rPr>
        <w:t xml:space="preserve">http://jsxcmm.com/help/gys.html”</w:t>
      </w:r>
      <w:r>
        <w:rPr>
          <w:rFonts w:hint="eastAsia" w:ascii="宋体" w:hAnsi="宋体" w:eastAsia="宋体" w:cs="Times New Roman"/>
          <w:sz w:val="24"/>
          <w:szCs w:val="24"/>
          <w:highlight w:val="none"/>
        </w:rPr>
        <w:t xml:space="preserve">。</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（5）招标代理机构（采购代理机构）将数据电文形式的采购文件加载至“苏采云”系统，供潜在供应商下载或者查阅。</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（6）苏采云系统使用谷歌浏览器参与不见面开标。</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3.地点：网上注册登记成功后系统内免费下载。</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4.售价：免费</w:t>
      </w:r>
      <w:r/>
    </w:p>
    <w:p>
      <w:pPr>
        <w:keepNext/>
        <w:spacing w:line="360" w:lineRule="auto"/>
        <w:rPr>
          <w:rFonts w:ascii="Times New Roman" w:hAnsi="Times New Roman" w:eastAsia="黑体" w:cs="Times New Roman"/>
          <w:b/>
          <w:sz w:val="28"/>
          <w:szCs w:val="20"/>
          <w:highlight w:val="none"/>
        </w:rPr>
        <w:outlineLvl w:val="1"/>
      </w:pPr>
      <w:r>
        <w:rPr>
          <w:rFonts w:hint="eastAsia" w:ascii="Times New Roman" w:hAnsi="Times New Roman" w:eastAsia="黑体" w:cs="Times New Roman"/>
          <w:b/>
          <w:sz w:val="28"/>
          <w:szCs w:val="20"/>
          <w:highlight w:val="none"/>
        </w:rPr>
        <w:t xml:space="preserve">四、提交投标文件截止时间、开标时间和地点</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1.投标文件接收时间</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投标文件接收截止时间：202</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年1</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lang w:val="en-US" w:eastAsia="zh-CN"/>
        </w:rPr>
        <w:t xml:space="preserve">03</w:t>
      </w:r>
      <w:r>
        <w:rPr>
          <w:rFonts w:hint="eastAsia" w:ascii="宋体" w:hAnsi="宋体" w:eastAsia="宋体" w:cs="Times New Roman"/>
          <w:sz w:val="24"/>
          <w:szCs w:val="24"/>
          <w:highlight w:val="none"/>
        </w:rPr>
        <w:t xml:space="preserve">日9:00:00（北京时间）</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2.开标时间与地点</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开标时间：202</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年12</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lang w:val="en-US" w:eastAsia="zh-CN"/>
        </w:rPr>
        <w:t xml:space="preserve">03</w:t>
      </w:r>
      <w:r>
        <w:rPr>
          <w:rFonts w:hint="eastAsia" w:ascii="宋体" w:hAnsi="宋体" w:eastAsia="宋体" w:cs="Times New Roman"/>
          <w:sz w:val="24"/>
          <w:szCs w:val="24"/>
          <w:highlight w:val="none"/>
        </w:rPr>
        <w:t xml:space="preserve">日9:00:00（北京时间）</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开标地点：“苏采云”系统 “开标大厅”</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开标大厅网址：</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http://jszfcg.jsczt.cn/</w:t>
      </w:r>
      <w:r/>
    </w:p>
    <w:p>
      <w:pPr>
        <w:keepNext/>
        <w:spacing w:line="360" w:lineRule="auto"/>
        <w:rPr>
          <w:rFonts w:ascii="Times New Roman" w:hAnsi="Times New Roman" w:eastAsia="黑体" w:cs="Times New Roman"/>
          <w:b/>
          <w:sz w:val="28"/>
          <w:szCs w:val="20"/>
          <w:highlight w:val="none"/>
        </w:rPr>
        <w:outlineLvl w:val="1"/>
      </w:pPr>
      <w:r>
        <w:rPr>
          <w:rFonts w:hint="eastAsia" w:ascii="Times New Roman" w:hAnsi="Times New Roman" w:eastAsia="黑体" w:cs="Times New Roman"/>
          <w:b/>
          <w:sz w:val="28"/>
          <w:szCs w:val="20"/>
          <w:highlight w:val="none"/>
        </w:rPr>
        <w:t xml:space="preserve">五、公告期限</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自本公告发布之日起5个工作日。</w:t>
      </w:r>
      <w:r/>
    </w:p>
    <w:p>
      <w:pPr>
        <w:keepNext/>
        <w:spacing w:line="360" w:lineRule="auto"/>
        <w:rPr>
          <w:rFonts w:ascii="Times New Roman" w:hAnsi="Times New Roman" w:eastAsia="黑体" w:cs="Times New Roman"/>
          <w:b/>
          <w:sz w:val="28"/>
          <w:szCs w:val="20"/>
          <w:highlight w:val="none"/>
        </w:rPr>
        <w:outlineLvl w:val="1"/>
      </w:pPr>
      <w:r>
        <w:rPr>
          <w:rFonts w:hint="eastAsia" w:ascii="Times New Roman" w:hAnsi="Times New Roman" w:eastAsia="黑体" w:cs="Times New Roman"/>
          <w:b/>
          <w:sz w:val="28"/>
          <w:szCs w:val="20"/>
          <w:highlight w:val="none"/>
        </w:rPr>
        <w:t xml:space="preserve">六、其他补充事宜</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本次公开招标不收取投标保证金。</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2.本招标文件中标注★的款项为实质性响应要求和条件，必须</w:t>
      </w:r>
      <w:r>
        <w:rPr>
          <w:rFonts w:hint="eastAsia" w:ascii="宋体" w:hAnsi="宋体" w:eastAsia="宋体" w:cs="Times New Roman"/>
          <w:b/>
          <w:sz w:val="24"/>
          <w:szCs w:val="24"/>
          <w:highlight w:val="none"/>
        </w:rPr>
        <w:t xml:space="preserve">逐条</w:t>
      </w:r>
      <w:r>
        <w:rPr>
          <w:rFonts w:hint="eastAsia" w:ascii="宋体" w:hAnsi="宋体" w:eastAsia="宋体" w:cs="Times New Roman"/>
          <w:sz w:val="24"/>
          <w:szCs w:val="24"/>
          <w:highlight w:val="none"/>
        </w:rPr>
        <w:t xml:space="preserve">做出满足要求和条件的响应，否则将按无效响应处理。</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keepNext/>
        <w:spacing w:line="360" w:lineRule="auto"/>
        <w:rPr>
          <w:rFonts w:ascii="Times New Roman" w:hAnsi="Times New Roman" w:eastAsia="黑体" w:cs="Times New Roman"/>
          <w:b/>
          <w:sz w:val="28"/>
          <w:szCs w:val="20"/>
          <w:highlight w:val="none"/>
        </w:rPr>
        <w:outlineLvl w:val="1"/>
      </w:pPr>
      <w:r>
        <w:rPr>
          <w:rFonts w:hint="eastAsia" w:ascii="Times New Roman" w:hAnsi="Times New Roman" w:eastAsia="黑体" w:cs="Times New Roman"/>
          <w:b/>
          <w:sz w:val="28"/>
          <w:szCs w:val="20"/>
          <w:highlight w:val="none"/>
        </w:rPr>
        <w:t xml:space="preserve">七、对本次招标提出询问，请按以下方式联系。</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1.采购人信息</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名    称：</w:t>
      </w:r>
      <w:r>
        <w:rPr>
          <w:rFonts w:hint="eastAsia" w:ascii="宋体" w:hAnsi="宋体" w:eastAsia="宋体" w:cs="Times New Roman"/>
          <w:sz w:val="24"/>
          <w:szCs w:val="24"/>
          <w:highlight w:val="none"/>
          <w:lang w:eastAsia="zh-CN"/>
        </w:rPr>
        <w:t xml:space="preserve">连云港市新海初级中学</w:t>
      </w:r>
      <w:r/>
    </w:p>
    <w:p>
      <w:pPr>
        <w:ind w:firstLine="480"/>
        <w:jc w:val="left"/>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地    址：</w:t>
      </w:r>
      <w:r>
        <w:rPr>
          <w:rFonts w:hint="eastAsia" w:ascii="宋体" w:hAnsi="宋体" w:eastAsia="宋体"/>
          <w:sz w:val="24"/>
          <w:highlight w:val="none"/>
          <w:lang w:val="en-US" w:eastAsia="zh-CN"/>
        </w:rPr>
        <w:t xml:space="preserve">连云港市海州区巨龙南路111号</w:t>
      </w:r>
      <w:r/>
    </w:p>
    <w:p>
      <w:pPr>
        <w:ind w:firstLine="480"/>
        <w:jc w:val="left"/>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联系方式：仲老师</w:t>
      </w:r>
      <w:r>
        <w:rPr>
          <w:rFonts w:hint="eastAsia" w:ascii="宋体" w:hAnsi="宋体" w:eastAsia="宋体" w:cs="Times New Roman"/>
          <w:sz w:val="24"/>
          <w:szCs w:val="24"/>
          <w:highlight w:val="none"/>
          <w:lang w:val="en-US" w:eastAsia="zh-CN"/>
        </w:rPr>
        <w:t xml:space="preserve">  18661255815</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2.采购代理机构信息</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名    称：</w:t>
      </w:r>
      <w:r>
        <w:rPr>
          <w:rFonts w:hint="eastAsia" w:ascii="宋体" w:hAnsi="宋体" w:eastAsia="宋体" w:cs="Times New Roman"/>
          <w:sz w:val="24"/>
          <w:szCs w:val="24"/>
          <w:highlight w:val="none"/>
          <w:lang w:eastAsia="zh-CN"/>
        </w:rPr>
        <w:t xml:space="preserve">江苏建友兴业工程项目管理有限公司</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地    址：</w:t>
      </w:r>
      <w:r>
        <w:rPr>
          <w:rFonts w:hint="eastAsia" w:eastAsia="宋体"/>
          <w:sz w:val="24"/>
          <w:highlight w:val="none"/>
          <w:lang w:eastAsia="zh-CN"/>
        </w:rPr>
        <w:t xml:space="preserve">连云港市海州区凤凰大道2-13号四楼408</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联系方式：</w:t>
      </w:r>
      <w:r>
        <w:rPr>
          <w:rFonts w:hint="eastAsia" w:ascii="宋体" w:hAnsi="宋体" w:eastAsia="宋体" w:cs="Times New Roman"/>
          <w:sz w:val="24"/>
          <w:szCs w:val="24"/>
          <w:highlight w:val="none"/>
          <w:lang w:eastAsia="zh-CN"/>
        </w:rPr>
        <w:t xml:space="preserve">文工</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eastAsia="zh-CN"/>
        </w:rPr>
        <w:t xml:space="preserve">15061317597</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3.项目联系方式</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项目联系人：仲老师</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电      话：</w:t>
      </w:r>
      <w:r>
        <w:rPr>
          <w:rFonts w:hint="eastAsia" w:ascii="宋体" w:hAnsi="宋体" w:eastAsia="宋体" w:cs="Times New Roman"/>
          <w:sz w:val="24"/>
          <w:szCs w:val="24"/>
          <w:highlight w:val="none"/>
          <w:lang w:val="en-US" w:eastAsia="zh-CN"/>
        </w:rPr>
        <w:t xml:space="preserve">18661255815</w:t>
      </w:r>
      <w:r/>
    </w:p>
    <w:p>
      <w:pPr>
        <w:keepNext/>
        <w:spacing w:line="360" w:lineRule="auto"/>
        <w:rPr>
          <w:rFonts w:ascii="Times New Roman" w:hAnsi="Times New Roman" w:eastAsia="黑体" w:cs="Times New Roman"/>
          <w:b/>
          <w:sz w:val="28"/>
          <w:szCs w:val="20"/>
          <w:highlight w:val="none"/>
        </w:rPr>
        <w:outlineLvl w:val="1"/>
      </w:pPr>
      <w:r>
        <w:rPr>
          <w:rFonts w:hint="eastAsia" w:ascii="Times New Roman" w:hAnsi="Times New Roman" w:eastAsia="黑体" w:cs="Times New Roman"/>
          <w:b/>
          <w:sz w:val="28"/>
          <w:szCs w:val="20"/>
          <w:highlight w:val="none"/>
        </w:rPr>
        <w:t xml:space="preserve">八、电子招投标说明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2.投标人应当通过“苏采云”系统提交数据电文形式的投标文件（即电子投标）。</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投标人应在达到开标时间后，使用CA数字证书解密各自投标文件。</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所有投标人解密（或解密时间）结束后，“苏采云”系统生成开标记录并向社会公众公布，但依法应当保密的除外。</w:t>
      </w:r>
      <w:r/>
    </w:p>
    <w:p>
      <w:pPr>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jc w:val="righ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江苏建友兴业工程项目管理有限公司</w:t>
      </w:r>
      <w:r/>
    </w:p>
    <w:p>
      <w:pPr>
        <w:ind w:firstLine="480"/>
        <w:jc w:val="right"/>
        <w:spacing w:line="360" w:lineRule="auto"/>
        <w:rPr>
          <w:rFonts w:ascii="宋体" w:hAnsi="宋体" w:eastAsia="宋体" w:cs="宋体"/>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月</w:t>
      </w:r>
      <w:r/>
    </w:p>
    <w:p>
      <w:pPr>
        <w:jc w:val="center"/>
        <w:keepLines/>
        <w:keepNext/>
        <w:spacing w:line="360" w:lineRule="auto"/>
        <w:rPr>
          <w:rFonts w:ascii="Times New Roman" w:hAnsi="Times New Roman" w:eastAsia="黑体" w:cs="Times New Roman"/>
          <w:b/>
          <w:sz w:val="36"/>
          <w:szCs w:val="36"/>
          <w:highlight w:val="none"/>
        </w:rPr>
        <w:outlineLvl w:val="0"/>
      </w:pPr>
      <w:r>
        <w:rPr>
          <w:rFonts w:ascii="Times New Roman" w:hAnsi="Times New Roman" w:eastAsia="黑体" w:cs="Times New Roman"/>
          <w:b/>
          <w:sz w:val="36"/>
          <w:szCs w:val="20"/>
          <w:highlight w:val="none"/>
        </w:rPr>
        <w:br w:type="page" w:clear="all"/>
      </w:r>
      <w:bookmarkStart w:id="5" w:name="_Toc150765435"/>
      <w:r/>
      <w:bookmarkStart w:id="6" w:name="_Toc513622227"/>
      <w:r>
        <w:rPr>
          <w:rFonts w:hint="eastAsia" w:ascii="Times New Roman" w:hAnsi="宋体" w:eastAsia="黑体" w:cs="Times New Roman"/>
          <w:sz w:val="36"/>
          <w:szCs w:val="20"/>
          <w:highlight w:val="none"/>
        </w:rPr>
        <w:t xml:space="preserve">第二章投标人须知</w:t>
      </w:r>
      <w:bookmarkEnd w:id="1"/>
      <w:r/>
      <w:bookmarkEnd w:id="2"/>
      <w:r/>
      <w:bookmarkEnd w:id="5"/>
      <w:r/>
      <w:bookmarkEnd w:id="6"/>
      <w:r/>
      <w:r/>
    </w:p>
    <w:p>
      <w:pPr>
        <w:pStyle w:val="879"/>
        <w:numPr>
          <w:ilvl w:val="0"/>
          <w:numId w:val="0"/>
        </w:numPr>
        <w:rPr>
          <w:b w:val="0"/>
          <w:highlight w:val="none"/>
        </w:rPr>
      </w:pPr>
      <w:r>
        <w:rPr>
          <w:rFonts w:hint="eastAsia"/>
          <w:highlight w:val="none"/>
        </w:rPr>
        <w:t xml:space="preserve">一、总则</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 采购人、项目（标段）名称及编号，详见第一章“投标邀请”。</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 采购预算</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 本项目的采购预算，详见第一章“投标邀请”。</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 资金来源</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3.1 “投标邀请”中所述的采购人已获得一笔政府采购资金，用于采购第六章“项目需求”所列内容。</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 采购方式</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4.1 本项目采用公开招标采购方式，招标、投标、开标、评标和中标结果发布全程电子化。</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 合格的投标人</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5.1 投标人应符合第一章“投标邀请”中规定的条件，</w:t>
      </w:r>
      <w:r>
        <w:rPr>
          <w:rFonts w:hint="eastAsia" w:ascii="宋体" w:hAnsi="宋体" w:eastAsia="宋体" w:cs="Times New Roman"/>
          <w:b/>
          <w:bCs/>
          <w:sz w:val="24"/>
          <w:szCs w:val="24"/>
          <w:highlight w:val="none"/>
        </w:rPr>
        <w:t xml:space="preserve">否则投标无效</w:t>
      </w:r>
      <w:r>
        <w:rPr>
          <w:rFonts w:hint="eastAsia" w:ascii="宋体" w:hAnsi="宋体" w:eastAsia="宋体" w:cs="Times New Roman"/>
          <w:sz w:val="24"/>
          <w:szCs w:val="24"/>
          <w:highlight w:val="none"/>
        </w:rPr>
        <w:t xml:space="preserve">。</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5.2 投标人不得直接或间接地与为本次采购的标的进行设计、编制规范和其他文件的咨询公司、采购（代理）机构或其附属机构有任何关联。 </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5.4 符合上述条件的投标人应承担投标及履约过程应承担的全部责任与义务。</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 投标费用</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6.1 不论投标结果如何，投标人均应自行承担所有与编写和提交投标文件有关的全部费用。</w:t>
      </w:r>
      <w:r/>
    </w:p>
    <w:p>
      <w:pPr>
        <w:ind w:firstLine="48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6.2本次采购代理费按“计价格【2002】1980号文”规定收费标准的40%计取，投标人在报价时应综合考虑以上相关费用，但不得单列。相关费用必须在中标公示后中标通知书发出前由中标人一次性付清。</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w:t>
      </w:r>
      <w:r>
        <w:rPr>
          <w:rFonts w:ascii="宋体" w:hAnsi="宋体" w:eastAsia="宋体" w:cs="Times New Roman"/>
          <w:sz w:val="24"/>
          <w:szCs w:val="24"/>
          <w:highlight w:val="none"/>
        </w:rPr>
        <w:t xml:space="preserve"> 质疑</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7.1 </w:t>
      </w:r>
      <w:r>
        <w:rPr>
          <w:rFonts w:ascii="宋体" w:hAnsi="宋体" w:eastAsia="宋体" w:cs="Times New Roman"/>
          <w:sz w:val="24"/>
          <w:szCs w:val="24"/>
          <w:highlight w:val="none"/>
        </w:rPr>
        <w:t xml:space="preserve">质疑的提出</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7.1.1 提出质疑的供应商应当是参与所质疑项目采购活动的供应商。</w:t>
      </w:r>
      <w:r/>
    </w:p>
    <w:p>
      <w:pPr>
        <w:ind w:firstLine="480"/>
        <w:spacing w:line="360" w:lineRule="auto"/>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Times New Roman"/>
          <w:sz w:val="24"/>
          <w:szCs w:val="24"/>
          <w:highlight w:val="none"/>
          <w:lang w:eastAsia="zh-CN"/>
        </w:rPr>
        <w:t xml:space="preserve">江苏建友兴业工程项目管理有限公司</w:t>
      </w:r>
      <w:r>
        <w:rPr>
          <w:rFonts w:hint="eastAsia" w:ascii="宋体" w:hAnsi="宋体" w:eastAsia="宋体" w:cs="Times New Roman"/>
          <w:sz w:val="24"/>
          <w:szCs w:val="24"/>
          <w:highlight w:val="none"/>
        </w:rPr>
        <w:t xml:space="preserve">（以下简称采购代理机构）提出质疑。供应商应当在法定质疑期内一次性提出针对同一采购程序环节的质疑。</w:t>
      </w:r>
      <w:r>
        <w:rPr>
          <w:rFonts w:hint="eastAsia" w:ascii="宋体" w:hAnsi="宋体" w:eastAsia="宋体" w:cs="Times New Roman"/>
          <w:b/>
          <w:bCs/>
          <w:sz w:val="24"/>
          <w:szCs w:val="24"/>
          <w:highlight w:val="none"/>
        </w:rPr>
        <w:t xml:space="preserve">未依照采购公告要求获取招标文件的供应商，视为未参与该项目的采购活动，不具备对该招标文件提出质疑的法定权利。</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7.1.3 </w:t>
      </w:r>
      <w:r>
        <w:rPr>
          <w:rFonts w:ascii="宋体" w:hAnsi="宋体" w:eastAsia="宋体" w:cs="Times New Roman"/>
          <w:sz w:val="24"/>
          <w:szCs w:val="24"/>
          <w:highlight w:val="none"/>
        </w:rPr>
        <w:t xml:space="preserve">提出质疑时，必须坚持“谁主张，谁举证”“实事求是”的原则，不能臆测。属于须由法定部门调查、侦查或先行作出相关认定的事项，质疑</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应当依法申请具有法定职权的部门查清、认定，并将相关结果提供给</w:t>
      </w:r>
      <w:r>
        <w:rPr>
          <w:rFonts w:hint="eastAsia" w:ascii="宋体" w:hAnsi="宋体" w:eastAsia="宋体" w:cs="Times New Roman"/>
          <w:sz w:val="24"/>
          <w:szCs w:val="24"/>
          <w:highlight w:val="none"/>
        </w:rPr>
        <w:t xml:space="preserve">采购人、采购代理机构</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采购人、采购代理机构</w:t>
      </w:r>
      <w:r>
        <w:rPr>
          <w:rFonts w:ascii="宋体" w:hAnsi="宋体" w:eastAsia="宋体" w:cs="Times New Roman"/>
          <w:sz w:val="24"/>
          <w:szCs w:val="24"/>
          <w:highlight w:val="none"/>
        </w:rPr>
        <w:t xml:space="preserve">不具有法定调查、认定权限。</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7.1.4 </w:t>
      </w:r>
      <w:r>
        <w:rPr>
          <w:rFonts w:hint="eastAsia" w:ascii="宋体" w:hAnsi="宋体" w:eastAsia="宋体" w:cs="Times New Roman"/>
          <w:b/>
          <w:sz w:val="24"/>
          <w:szCs w:val="24"/>
          <w:highlight w:val="none"/>
        </w:rPr>
        <w:t xml:space="preserve">质疑函的接收方式为供应商书面原件提交</w:t>
      </w:r>
      <w:r>
        <w:rPr>
          <w:rFonts w:hint="eastAsia" w:ascii="宋体" w:hAnsi="宋体" w:eastAsia="宋体" w:cs="Times New Roman"/>
          <w:sz w:val="24"/>
          <w:szCs w:val="24"/>
          <w:highlight w:val="none"/>
        </w:rPr>
        <w:t xml:space="preserve">。联系部门、联系电话和通讯地址详见第一章“投标邀请”。</w:t>
      </w:r>
      <w:r>
        <w:rPr>
          <w:rFonts w:ascii="宋体" w:hAnsi="宋体" w:eastAsia="宋体" w:cs="Times New Roman"/>
          <w:sz w:val="24"/>
          <w:szCs w:val="24"/>
          <w:highlight w:val="none"/>
        </w:rPr>
        <w:t xml:space="preserve">质疑实行实名制，不得进行虚假、恶意质疑。</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7.1.5 质疑函应当使用范本（详见连云港市政府采购交易平台-监管信息-意见反馈）。</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供应商提出质疑</w:t>
      </w:r>
      <w:r>
        <w:rPr>
          <w:rFonts w:hint="eastAsia" w:ascii="宋体" w:hAnsi="宋体" w:eastAsia="宋体" w:cs="Times New Roman"/>
          <w:b/>
          <w:sz w:val="24"/>
          <w:szCs w:val="24"/>
          <w:highlight w:val="none"/>
        </w:rPr>
        <w:t xml:space="preserve">应当提交质疑函和必要的证明材料</w:t>
      </w:r>
      <w:r>
        <w:rPr>
          <w:rFonts w:hint="eastAsia" w:ascii="宋体" w:hAnsi="宋体" w:eastAsia="宋体" w:cs="Times New Roman"/>
          <w:sz w:val="24"/>
          <w:szCs w:val="24"/>
          <w:highlight w:val="none"/>
        </w:rPr>
        <w:t xml:space="preserve">，应当包括下列内容：</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供应商的姓名或者名称、地址、邮编、联系人及联系电话；</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质疑项目的名称、编号；</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具体、明确的质疑事项和与质疑事项相关的请求；</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事实依据；</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必要的法律依据；</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提出质疑的日期；</w:t>
      </w:r>
      <w:r/>
    </w:p>
    <w:p>
      <w:pPr>
        <w:ind w:firstLine="480"/>
        <w:spacing w:line="360" w:lineRule="auto"/>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（7</w:t>
      </w:r>
      <w:r>
        <w:rPr>
          <w:rFonts w:ascii="宋体" w:hAnsi="宋体" w:eastAsia="宋体" w:cs="Times New Roman"/>
          <w:sz w:val="24"/>
          <w:szCs w:val="24"/>
          <w:highlight w:val="none"/>
        </w:rPr>
        <w:t xml:space="preserve">）</w:t>
      </w:r>
      <w:r>
        <w:rPr>
          <w:rFonts w:hint="eastAsia" w:ascii="宋体" w:hAnsi="宋体" w:eastAsia="宋体" w:cs="Times New Roman"/>
          <w:b/>
          <w:sz w:val="24"/>
          <w:szCs w:val="24"/>
          <w:highlight w:val="none"/>
        </w:rPr>
        <w:t xml:space="preserve">必要的证明材料；</w:t>
      </w:r>
      <w:r/>
    </w:p>
    <w:p>
      <w:pPr>
        <w:ind w:firstLine="480"/>
        <w:spacing w:line="360" w:lineRule="auto"/>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（8）招标文件(交易文件)下载回执函；</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营业执照复印件及法定代表人授权委托书、法定代表人身份证复印件、委托代理人身份证复印件。</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7.2 </w:t>
      </w:r>
      <w:r>
        <w:rPr>
          <w:rFonts w:ascii="宋体" w:hAnsi="宋体" w:eastAsia="宋体" w:cs="Times New Roman"/>
          <w:sz w:val="24"/>
          <w:szCs w:val="24"/>
          <w:highlight w:val="none"/>
        </w:rPr>
        <w:t xml:space="preserve">质疑函的受理和答复</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7.2.1 </w:t>
      </w:r>
      <w:r>
        <w:rPr>
          <w:rFonts w:ascii="宋体" w:hAnsi="宋体" w:eastAsia="宋体" w:cs="Times New Roman"/>
          <w:sz w:val="24"/>
          <w:szCs w:val="24"/>
          <w:highlight w:val="none"/>
        </w:rPr>
        <w:t xml:space="preserve">质疑</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应</w:t>
      </w:r>
      <w:r>
        <w:rPr>
          <w:rFonts w:hint="eastAsia" w:ascii="宋体" w:hAnsi="宋体" w:eastAsia="宋体" w:cs="Times New Roman"/>
          <w:sz w:val="24"/>
          <w:szCs w:val="24"/>
          <w:highlight w:val="none"/>
        </w:rPr>
        <w:t xml:space="preserve">当</w:t>
      </w:r>
      <w:r>
        <w:rPr>
          <w:rFonts w:ascii="宋体" w:hAnsi="宋体" w:eastAsia="宋体" w:cs="Times New Roman"/>
          <w:sz w:val="24"/>
          <w:szCs w:val="24"/>
          <w:highlight w:val="none"/>
        </w:rPr>
        <w:t xml:space="preserve">保证其提出的质疑事项及必要</w:t>
      </w:r>
      <w:r>
        <w:rPr>
          <w:rFonts w:hint="eastAsia" w:ascii="宋体" w:hAnsi="宋体" w:eastAsia="宋体" w:cs="Times New Roman"/>
          <w:sz w:val="24"/>
          <w:szCs w:val="24"/>
          <w:highlight w:val="none"/>
        </w:rPr>
        <w:t xml:space="preserve">的</w:t>
      </w:r>
      <w:r>
        <w:rPr>
          <w:rFonts w:ascii="宋体" w:hAnsi="宋体" w:eastAsia="宋体" w:cs="Times New Roman"/>
          <w:sz w:val="24"/>
          <w:szCs w:val="24"/>
          <w:highlight w:val="none"/>
        </w:rPr>
        <w:t xml:space="preserve">证明材料的真实性及来源的合法性，并承担相应的法律责任。</w:t>
      </w:r>
      <w:r>
        <w:rPr>
          <w:rFonts w:ascii="宋体" w:hAnsi="宋体" w:eastAsia="宋体" w:cs="Times New Roman"/>
          <w:b/>
          <w:sz w:val="24"/>
          <w:szCs w:val="24"/>
          <w:highlight w:val="none"/>
        </w:rPr>
        <w:t xml:space="preserve">对不能提供必要</w:t>
      </w:r>
      <w:r>
        <w:rPr>
          <w:rFonts w:hint="eastAsia" w:ascii="宋体" w:hAnsi="宋体" w:eastAsia="宋体" w:cs="Times New Roman"/>
          <w:b/>
          <w:sz w:val="24"/>
          <w:szCs w:val="24"/>
          <w:highlight w:val="none"/>
        </w:rPr>
        <w:t xml:space="preserve">的</w:t>
      </w:r>
      <w:r>
        <w:rPr>
          <w:rFonts w:ascii="宋体" w:hAnsi="宋体" w:eastAsia="宋体" w:cs="Times New Roman"/>
          <w:b/>
          <w:sz w:val="24"/>
          <w:szCs w:val="24"/>
          <w:highlight w:val="none"/>
        </w:rPr>
        <w:t xml:space="preserve">证明材料的、涉及商业秘密的、非书面原件形式的、匿名的质疑函将不予受理</w:t>
      </w:r>
      <w:r>
        <w:rPr>
          <w:rFonts w:ascii="宋体" w:hAnsi="宋体" w:eastAsia="宋体" w:cs="Times New Roman"/>
          <w:sz w:val="24"/>
          <w:szCs w:val="24"/>
          <w:highlight w:val="none"/>
        </w:rPr>
        <w:t xml:space="preserve">。必要</w:t>
      </w:r>
      <w:r>
        <w:rPr>
          <w:rFonts w:hint="eastAsia" w:ascii="宋体" w:hAnsi="宋体" w:eastAsia="宋体" w:cs="Times New Roman"/>
          <w:sz w:val="24"/>
          <w:szCs w:val="24"/>
          <w:highlight w:val="none"/>
        </w:rPr>
        <w:t xml:space="preserve">的</w:t>
      </w:r>
      <w:r>
        <w:rPr>
          <w:rFonts w:ascii="宋体" w:hAnsi="宋体" w:eastAsia="宋体" w:cs="Times New Roman"/>
          <w:sz w:val="24"/>
          <w:szCs w:val="24"/>
          <w:highlight w:val="none"/>
        </w:rPr>
        <w:t xml:space="preserve">证明材料要具备客观性、关联性、合法性，无法查实的</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如宣传册、媒体报道、猜测、推理等</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不能作为证明材料。</w:t>
      </w:r>
      <w:r>
        <w:rPr>
          <w:rFonts w:hint="eastAsia" w:ascii="宋体" w:hAnsi="宋体" w:eastAsia="宋体" w:cs="Times New Roman"/>
          <w:sz w:val="24"/>
          <w:szCs w:val="24"/>
          <w:highlight w:val="none"/>
        </w:rPr>
        <w:t xml:space="preserve">采购人、采购代理机构</w:t>
      </w:r>
      <w:r>
        <w:rPr>
          <w:rFonts w:ascii="宋体" w:hAnsi="宋体" w:eastAsia="宋体" w:cs="Times New Roman"/>
          <w:sz w:val="24"/>
          <w:szCs w:val="24"/>
          <w:highlight w:val="none"/>
        </w:rPr>
        <w:t xml:space="preserve">不负责搜集必要</w:t>
      </w:r>
      <w:r>
        <w:rPr>
          <w:rFonts w:hint="eastAsia" w:ascii="宋体" w:hAnsi="宋体" w:eastAsia="宋体" w:cs="Times New Roman"/>
          <w:sz w:val="24"/>
          <w:szCs w:val="24"/>
          <w:highlight w:val="none"/>
        </w:rPr>
        <w:t xml:space="preserve">的</w:t>
      </w:r>
      <w:r>
        <w:rPr>
          <w:rFonts w:ascii="宋体" w:hAnsi="宋体" w:eastAsia="宋体" w:cs="Times New Roman"/>
          <w:sz w:val="24"/>
          <w:szCs w:val="24"/>
          <w:highlight w:val="none"/>
        </w:rPr>
        <w:t xml:space="preserve">证明材料等工作。</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7.2.2 </w:t>
      </w:r>
      <w:r>
        <w:rPr>
          <w:rFonts w:ascii="宋体" w:hAnsi="宋体" w:eastAsia="宋体" w:cs="Times New Roman"/>
          <w:sz w:val="24"/>
          <w:szCs w:val="24"/>
          <w:highlight w:val="none"/>
        </w:rPr>
        <w:t xml:space="preserve">对符合质疑要求的，</w:t>
      </w:r>
      <w:r>
        <w:rPr>
          <w:rFonts w:hint="eastAsia" w:ascii="宋体" w:hAnsi="宋体" w:eastAsia="宋体" w:cs="Times New Roman"/>
          <w:sz w:val="24"/>
          <w:szCs w:val="24"/>
          <w:highlight w:val="none"/>
        </w:rPr>
        <w:t xml:space="preserve">采购人、采购代理机构接收</w:t>
      </w:r>
      <w:r>
        <w:rPr>
          <w:rFonts w:ascii="宋体" w:hAnsi="宋体" w:eastAsia="宋体" w:cs="Times New Roman"/>
          <w:sz w:val="24"/>
          <w:szCs w:val="24"/>
          <w:highlight w:val="none"/>
        </w:rPr>
        <w:t xml:space="preserve">并登记。在处理过程中，发现需要质疑</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进一步补充必要</w:t>
      </w:r>
      <w:r>
        <w:rPr>
          <w:rFonts w:hint="eastAsia" w:ascii="宋体" w:hAnsi="宋体" w:eastAsia="宋体" w:cs="Times New Roman"/>
          <w:sz w:val="24"/>
          <w:szCs w:val="24"/>
          <w:highlight w:val="none"/>
        </w:rPr>
        <w:t xml:space="preserve">的</w:t>
      </w:r>
      <w:r>
        <w:rPr>
          <w:rFonts w:ascii="宋体" w:hAnsi="宋体" w:eastAsia="宋体" w:cs="Times New Roman"/>
          <w:sz w:val="24"/>
          <w:szCs w:val="24"/>
          <w:highlight w:val="none"/>
        </w:rPr>
        <w:t xml:space="preserve">证明材料的，质疑</w:t>
      </w:r>
      <w:r>
        <w:rPr>
          <w:rFonts w:hint="eastAsia" w:ascii="宋体" w:hAnsi="宋体" w:eastAsia="宋体" w:cs="Times New Roman"/>
          <w:sz w:val="24"/>
          <w:szCs w:val="24"/>
          <w:highlight w:val="none"/>
        </w:rPr>
        <w:t xml:space="preserve">供应商应</w:t>
      </w:r>
      <w:r>
        <w:rPr>
          <w:rFonts w:ascii="宋体" w:hAnsi="宋体" w:eastAsia="宋体" w:cs="Times New Roman"/>
          <w:sz w:val="24"/>
          <w:szCs w:val="24"/>
          <w:highlight w:val="none"/>
        </w:rPr>
        <w:t xml:space="preserve">在法定的时间内提供，质疑答复时间相应顺延。质疑</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不能按时提供必要</w:t>
      </w:r>
      <w:r>
        <w:rPr>
          <w:rFonts w:hint="eastAsia" w:ascii="宋体" w:hAnsi="宋体" w:eastAsia="宋体" w:cs="Times New Roman"/>
          <w:sz w:val="24"/>
          <w:szCs w:val="24"/>
          <w:highlight w:val="none"/>
        </w:rPr>
        <w:t xml:space="preserve">的</w:t>
      </w:r>
      <w:r>
        <w:rPr>
          <w:rFonts w:ascii="宋体" w:hAnsi="宋体" w:eastAsia="宋体" w:cs="Times New Roman"/>
          <w:sz w:val="24"/>
          <w:szCs w:val="24"/>
          <w:highlight w:val="none"/>
        </w:rPr>
        <w:t xml:space="preserve">证明材料的，视同放弃质疑。</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7.2.3 </w:t>
      </w:r>
      <w:r>
        <w:rPr>
          <w:rFonts w:ascii="宋体" w:hAnsi="宋体" w:eastAsia="宋体" w:cs="Times New Roman"/>
          <w:sz w:val="24"/>
          <w:szCs w:val="24"/>
          <w:highlight w:val="none"/>
        </w:rPr>
        <w:t xml:space="preserve">对不符合质疑要求的，</w:t>
      </w:r>
      <w:r>
        <w:rPr>
          <w:rFonts w:hint="eastAsia" w:ascii="宋体" w:hAnsi="宋体" w:eastAsia="宋体" w:cs="Times New Roman"/>
          <w:sz w:val="24"/>
          <w:szCs w:val="24"/>
          <w:highlight w:val="none"/>
        </w:rPr>
        <w:t xml:space="preserve">采购人、采购代理机构</w:t>
      </w:r>
      <w:r>
        <w:rPr>
          <w:rFonts w:ascii="宋体" w:hAnsi="宋体" w:eastAsia="宋体" w:cs="Times New Roman"/>
          <w:sz w:val="24"/>
          <w:szCs w:val="24"/>
          <w:highlight w:val="none"/>
        </w:rPr>
        <w:t xml:space="preserve">有权要求其补充必要</w:t>
      </w:r>
      <w:r>
        <w:rPr>
          <w:rFonts w:hint="eastAsia" w:ascii="宋体" w:hAnsi="宋体" w:eastAsia="宋体" w:cs="Times New Roman"/>
          <w:sz w:val="24"/>
          <w:szCs w:val="24"/>
          <w:highlight w:val="none"/>
        </w:rPr>
        <w:t xml:space="preserve">的</w:t>
      </w:r>
      <w:r>
        <w:rPr>
          <w:rFonts w:ascii="宋体" w:hAnsi="宋体" w:eastAsia="宋体" w:cs="Times New Roman"/>
          <w:sz w:val="24"/>
          <w:szCs w:val="24"/>
          <w:highlight w:val="none"/>
        </w:rPr>
        <w:t xml:space="preserve">证明材料，质疑</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未在法定的时间内提供补充必要</w:t>
      </w:r>
      <w:r>
        <w:rPr>
          <w:rFonts w:hint="eastAsia" w:ascii="宋体" w:hAnsi="宋体" w:eastAsia="宋体" w:cs="Times New Roman"/>
          <w:sz w:val="24"/>
          <w:szCs w:val="24"/>
          <w:highlight w:val="none"/>
        </w:rPr>
        <w:t xml:space="preserve">的</w:t>
      </w:r>
      <w:r>
        <w:rPr>
          <w:rFonts w:ascii="宋体" w:hAnsi="宋体" w:eastAsia="宋体" w:cs="Times New Roman"/>
          <w:sz w:val="24"/>
          <w:szCs w:val="24"/>
          <w:highlight w:val="none"/>
        </w:rPr>
        <w:t xml:space="preserve">证明材料的，视同放弃质疑。</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7.2.4 采购人、采购代理机构</w:t>
      </w:r>
      <w:r>
        <w:rPr>
          <w:rFonts w:ascii="宋体" w:hAnsi="宋体" w:eastAsia="宋体" w:cs="Times New Roman"/>
          <w:sz w:val="24"/>
          <w:szCs w:val="24"/>
          <w:highlight w:val="none"/>
        </w:rPr>
        <w:t xml:space="preserve">负责将质疑</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提出的质疑函及</w:t>
      </w:r>
      <w:r>
        <w:rPr>
          <w:rFonts w:hint="eastAsia" w:ascii="宋体" w:hAnsi="宋体" w:eastAsia="宋体" w:cs="Times New Roman"/>
          <w:sz w:val="24"/>
          <w:szCs w:val="24"/>
          <w:highlight w:val="none"/>
        </w:rPr>
        <w:t xml:space="preserve">相关</w:t>
      </w:r>
      <w:r>
        <w:rPr>
          <w:rFonts w:ascii="宋体" w:hAnsi="宋体" w:eastAsia="宋体" w:cs="Times New Roman"/>
          <w:sz w:val="24"/>
          <w:szCs w:val="24"/>
          <w:highlight w:val="none"/>
        </w:rPr>
        <w:t xml:space="preserve">材料提供给评审委员会协助答复，并将答复意见回复质疑</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。必要时，可向被质疑</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转发《质疑函》及</w:t>
      </w:r>
      <w:r>
        <w:rPr>
          <w:rFonts w:hint="eastAsia" w:ascii="宋体" w:hAnsi="宋体" w:eastAsia="宋体" w:cs="Times New Roman"/>
          <w:sz w:val="24"/>
          <w:szCs w:val="24"/>
          <w:highlight w:val="none"/>
        </w:rPr>
        <w:t xml:space="preserve">相关</w:t>
      </w:r>
      <w:r>
        <w:rPr>
          <w:rFonts w:ascii="宋体" w:hAnsi="宋体" w:eastAsia="宋体" w:cs="Times New Roman"/>
          <w:sz w:val="24"/>
          <w:szCs w:val="24"/>
          <w:highlight w:val="none"/>
        </w:rPr>
        <w:t xml:space="preserve">材料。被质疑</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应当在要求的时间内，以书面形式作出说明并提交</w:t>
      </w:r>
      <w:r>
        <w:rPr>
          <w:rFonts w:hint="eastAsia" w:ascii="宋体" w:hAnsi="宋体" w:eastAsia="宋体" w:cs="Times New Roman"/>
          <w:sz w:val="24"/>
          <w:szCs w:val="24"/>
          <w:highlight w:val="none"/>
        </w:rPr>
        <w:t xml:space="preserve">相关</w:t>
      </w:r>
      <w:r>
        <w:rPr>
          <w:rFonts w:ascii="宋体" w:hAnsi="宋体" w:eastAsia="宋体" w:cs="Times New Roman"/>
          <w:sz w:val="24"/>
          <w:szCs w:val="24"/>
          <w:highlight w:val="none"/>
        </w:rPr>
        <w:t xml:space="preserve">材料。</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7.3 </w:t>
      </w:r>
      <w:r>
        <w:rPr>
          <w:rFonts w:ascii="宋体" w:hAnsi="宋体" w:eastAsia="宋体" w:cs="Times New Roman"/>
          <w:sz w:val="24"/>
          <w:szCs w:val="24"/>
          <w:highlight w:val="none"/>
        </w:rPr>
        <w:t xml:space="preserve">质疑处理</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7.3.1 </w:t>
      </w:r>
      <w:r>
        <w:rPr>
          <w:rFonts w:ascii="宋体" w:hAnsi="宋体" w:eastAsia="宋体" w:cs="Times New Roman"/>
          <w:sz w:val="24"/>
          <w:szCs w:val="24"/>
          <w:highlight w:val="none"/>
        </w:rPr>
        <w:t xml:space="preserve">质疑</w:t>
      </w:r>
      <w:r>
        <w:rPr>
          <w:rFonts w:hint="eastAsia" w:ascii="宋体" w:hAnsi="宋体" w:eastAsia="宋体" w:cs="Times New Roman"/>
          <w:sz w:val="24"/>
          <w:szCs w:val="24"/>
          <w:highlight w:val="none"/>
        </w:rPr>
        <w:t xml:space="preserve">供应商未按照法定程序进行质疑投诉的，</w:t>
      </w:r>
      <w:r>
        <w:rPr>
          <w:rFonts w:ascii="宋体" w:hAnsi="宋体" w:eastAsia="宋体" w:cs="Times New Roman"/>
          <w:sz w:val="24"/>
          <w:szCs w:val="24"/>
          <w:highlight w:val="none"/>
        </w:rPr>
        <w:t xml:space="preserve">视为一般失信行为。</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7.3.2 </w:t>
      </w:r>
      <w:r>
        <w:rPr>
          <w:rFonts w:ascii="宋体" w:hAnsi="宋体" w:eastAsia="宋体" w:cs="Times New Roman"/>
          <w:sz w:val="24"/>
          <w:szCs w:val="24"/>
          <w:highlight w:val="none"/>
        </w:rPr>
        <w:t xml:space="preserve">质疑</w:t>
      </w:r>
      <w:r>
        <w:rPr>
          <w:rFonts w:hint="eastAsia" w:ascii="宋体" w:hAnsi="宋体" w:eastAsia="宋体" w:cs="Times New Roman"/>
          <w:sz w:val="24"/>
          <w:szCs w:val="24"/>
          <w:highlight w:val="none"/>
        </w:rPr>
        <w:t xml:space="preserve">供应商不配合或者采用不正当手段干扰政府采购质疑、投诉处理工作</w:t>
      </w:r>
      <w:r>
        <w:rPr>
          <w:rFonts w:ascii="宋体" w:hAnsi="宋体" w:eastAsia="宋体" w:cs="Times New Roman"/>
          <w:sz w:val="24"/>
          <w:szCs w:val="24"/>
          <w:highlight w:val="none"/>
        </w:rPr>
        <w:t xml:space="preserve">的，视为一般失信行为。</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7.3.3 </w:t>
      </w:r>
      <w:r>
        <w:rPr>
          <w:rFonts w:ascii="宋体" w:hAnsi="宋体" w:eastAsia="宋体" w:cs="Times New Roman"/>
          <w:sz w:val="24"/>
          <w:szCs w:val="24"/>
          <w:highlight w:val="none"/>
        </w:rPr>
        <w:t xml:space="preserve">质疑</w:t>
      </w:r>
      <w:r>
        <w:rPr>
          <w:rFonts w:hint="eastAsia" w:ascii="宋体" w:hAnsi="宋体" w:eastAsia="宋体" w:cs="Times New Roman"/>
          <w:sz w:val="24"/>
          <w:szCs w:val="24"/>
          <w:highlight w:val="none"/>
        </w:rPr>
        <w:t xml:space="preserve">供应商投诉受理期间，就同一事项多头举报，干扰财政部门投诉处理</w:t>
      </w:r>
      <w:r>
        <w:rPr>
          <w:rFonts w:ascii="宋体" w:hAnsi="宋体" w:eastAsia="宋体" w:cs="Times New Roman"/>
          <w:sz w:val="24"/>
          <w:szCs w:val="24"/>
          <w:highlight w:val="none"/>
        </w:rPr>
        <w:t xml:space="preserve">的，视为一般失信行为。</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7.3.4 </w:t>
      </w:r>
      <w:r>
        <w:rPr>
          <w:rFonts w:ascii="宋体" w:hAnsi="宋体" w:eastAsia="宋体" w:cs="Times New Roman"/>
          <w:sz w:val="24"/>
          <w:szCs w:val="24"/>
          <w:highlight w:val="none"/>
        </w:rPr>
        <w:t xml:space="preserve">质疑</w:t>
      </w:r>
      <w:r>
        <w:rPr>
          <w:rFonts w:hint="eastAsia" w:ascii="宋体" w:hAnsi="宋体" w:eastAsia="宋体" w:cs="Times New Roman"/>
          <w:sz w:val="24"/>
          <w:szCs w:val="24"/>
          <w:highlight w:val="none"/>
        </w:rPr>
        <w:t xml:space="preserve">供应商在全国范围12个月内三次以上质疑查无实据</w:t>
      </w:r>
      <w:r>
        <w:rPr>
          <w:rFonts w:ascii="宋体" w:hAnsi="宋体" w:eastAsia="宋体" w:cs="Times New Roman"/>
          <w:sz w:val="24"/>
          <w:szCs w:val="24"/>
          <w:highlight w:val="none"/>
        </w:rPr>
        <w:t xml:space="preserve">的，视为一般失信行为。</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7.3.5 </w:t>
      </w:r>
      <w:r>
        <w:rPr>
          <w:rFonts w:ascii="宋体" w:hAnsi="宋体" w:eastAsia="宋体" w:cs="Times New Roman"/>
          <w:sz w:val="24"/>
          <w:szCs w:val="24"/>
          <w:highlight w:val="none"/>
        </w:rPr>
        <w:t xml:space="preserve">质疑</w:t>
      </w:r>
      <w:r>
        <w:rPr>
          <w:rFonts w:hint="eastAsia" w:ascii="宋体" w:hAnsi="宋体" w:eastAsia="宋体" w:cs="Times New Roman"/>
          <w:sz w:val="24"/>
          <w:szCs w:val="24"/>
          <w:highlight w:val="none"/>
        </w:rPr>
        <w:t xml:space="preserve">供应商采用捏造事实、提供虚假材料或者以非法手段取得证明材料等方式进行虚假、恶意投诉</w:t>
      </w:r>
      <w:r>
        <w:rPr>
          <w:rFonts w:ascii="宋体" w:hAnsi="宋体" w:eastAsia="宋体" w:cs="Times New Roman"/>
          <w:sz w:val="24"/>
          <w:szCs w:val="24"/>
          <w:highlight w:val="none"/>
        </w:rPr>
        <w:t xml:space="preserve">的，视为</w:t>
      </w:r>
      <w:r>
        <w:rPr>
          <w:rFonts w:hint="eastAsia" w:ascii="宋体" w:hAnsi="宋体" w:eastAsia="宋体" w:cs="Times New Roman"/>
          <w:sz w:val="24"/>
          <w:szCs w:val="24"/>
          <w:highlight w:val="none"/>
        </w:rPr>
        <w:t xml:space="preserve">严重失信行为</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（证据来源的合法性存在明显疑问，投诉人无法证明其取得方式合法的，视为以非法手段取得证明材料）</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7.3.6 </w:t>
      </w:r>
      <w:r>
        <w:rPr>
          <w:rFonts w:ascii="宋体" w:hAnsi="宋体" w:eastAsia="宋体" w:cs="Times New Roman"/>
          <w:sz w:val="24"/>
          <w:szCs w:val="24"/>
          <w:highlight w:val="none"/>
        </w:rPr>
        <w:t xml:space="preserve">质疑</w:t>
      </w:r>
      <w:r>
        <w:rPr>
          <w:rFonts w:hint="eastAsia" w:ascii="宋体" w:hAnsi="宋体" w:eastAsia="宋体" w:cs="Times New Roman"/>
          <w:sz w:val="24"/>
          <w:szCs w:val="24"/>
          <w:highlight w:val="none"/>
        </w:rPr>
        <w:t xml:space="preserve">供应商在全国范围12个月内三次以上投诉查无实据</w:t>
      </w:r>
      <w:r>
        <w:rPr>
          <w:rFonts w:ascii="宋体" w:hAnsi="宋体" w:eastAsia="宋体" w:cs="Times New Roman"/>
          <w:sz w:val="24"/>
          <w:szCs w:val="24"/>
          <w:highlight w:val="none"/>
        </w:rPr>
        <w:t xml:space="preserve">的，视为</w:t>
      </w:r>
      <w:r>
        <w:rPr>
          <w:rFonts w:hint="eastAsia" w:ascii="宋体" w:hAnsi="宋体" w:eastAsia="宋体" w:cs="Times New Roman"/>
          <w:sz w:val="24"/>
          <w:szCs w:val="24"/>
          <w:highlight w:val="none"/>
        </w:rPr>
        <w:t xml:space="preserve">严重失信行为</w:t>
      </w:r>
      <w:r>
        <w:rPr>
          <w:rFonts w:ascii="宋体" w:hAnsi="宋体" w:eastAsia="宋体" w:cs="Times New Roman"/>
          <w:sz w:val="24"/>
          <w:szCs w:val="24"/>
          <w:highlight w:val="none"/>
        </w:rPr>
        <w:t xml:space="preserve">。</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7.4 未尽事宜，依照有关法律、法规执行。</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 投诉</w:t>
      </w:r>
      <w:r/>
    </w:p>
    <w:p>
      <w:pPr>
        <w:ind w:firstLine="480"/>
        <w:spacing w:line="360" w:lineRule="auto"/>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8.1 投诉事项依照有关法律、法规执行。</w:t>
      </w:r>
      <w:r/>
    </w:p>
    <w:p>
      <w:pPr>
        <w:keepNext/>
        <w:spacing w:line="360" w:lineRule="auto"/>
        <w:rPr>
          <w:rFonts w:ascii="Times New Roman" w:hAnsi="Times New Roman" w:eastAsia="黑体" w:cs="Times New Roman"/>
          <w:b/>
          <w:sz w:val="28"/>
          <w:szCs w:val="20"/>
          <w:highlight w:val="none"/>
        </w:rPr>
        <w:outlineLvl w:val="1"/>
      </w:pPr>
      <w:r>
        <w:rPr>
          <w:rFonts w:hint="eastAsia" w:ascii="Times New Roman" w:hAnsi="Times New Roman" w:eastAsia="黑体" w:cs="Times New Roman"/>
          <w:b/>
          <w:sz w:val="28"/>
          <w:szCs w:val="20"/>
          <w:highlight w:val="none"/>
        </w:rPr>
        <w:t xml:space="preserve">二、招标文件</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 招标文件构成</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9.1 要求提供的货物、招标过程及合同条款在招标文件中均有说明，招标文件分为七章，各章的内容如下：</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第一章  投标邀请</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第二章  投标人须知</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第三章  政府采购合同格式</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第四章  投标文件格式</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第五章  合同专用条款表</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第六章  项目需求</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第七章  评标办法</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10. 招标文件的澄清或修改</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keepNext/>
        <w:spacing w:line="360" w:lineRule="auto"/>
        <w:rPr>
          <w:rFonts w:ascii="Times New Roman" w:hAnsi="Times New Roman" w:eastAsia="黑体" w:cs="Times New Roman"/>
          <w:b/>
          <w:sz w:val="28"/>
          <w:szCs w:val="20"/>
          <w:highlight w:val="none"/>
        </w:rPr>
        <w:outlineLvl w:val="1"/>
      </w:pPr>
      <w:r>
        <w:rPr>
          <w:rFonts w:hint="eastAsia" w:ascii="Times New Roman" w:hAnsi="Times New Roman" w:eastAsia="黑体" w:cs="Times New Roman"/>
          <w:b/>
          <w:sz w:val="28"/>
          <w:szCs w:val="20"/>
          <w:highlight w:val="none"/>
        </w:rPr>
        <w:t xml:space="preserve">三、投标文件的编制</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 投标文件编写注意事项</w:t>
      </w:r>
      <w:r/>
    </w:p>
    <w:p>
      <w:pPr>
        <w:ind w:firstLine="480"/>
        <w:spacing w:line="360" w:lineRule="auto"/>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sz w:val="24"/>
          <w:szCs w:val="24"/>
          <w:highlight w:val="none"/>
        </w:rPr>
        <w:t xml:space="preserve">无效响应处理</w:t>
      </w:r>
      <w:r>
        <w:rPr>
          <w:rFonts w:hint="eastAsia" w:ascii="宋体" w:hAnsi="宋体" w:eastAsia="宋体" w:cs="Times New Roman"/>
          <w:sz w:val="24"/>
          <w:szCs w:val="24"/>
          <w:highlight w:val="none"/>
        </w:rPr>
        <w:t xml:space="preserve">。</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sz w:val="24"/>
          <w:szCs w:val="24"/>
          <w:highlight w:val="none"/>
        </w:rPr>
        <w:t xml:space="preserve">作出满足原要求和条件的响应</w:t>
      </w:r>
      <w:r>
        <w:rPr>
          <w:rFonts w:hint="eastAsia" w:ascii="宋体" w:hAnsi="宋体" w:eastAsia="宋体" w:cs="Times New Roman"/>
          <w:sz w:val="24"/>
          <w:szCs w:val="24"/>
          <w:highlight w:val="none"/>
        </w:rPr>
        <w:t xml:space="preserve">。</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11.3 </w:t>
      </w:r>
      <w:r>
        <w:rPr>
          <w:rFonts w:hint="eastAsia" w:ascii="宋体" w:hAnsi="宋体" w:eastAsia="宋体" w:cs="Times New Roman"/>
          <w:b/>
          <w:bCs/>
          <w:sz w:val="24"/>
          <w:szCs w:val="24"/>
          <w:highlight w:val="none"/>
        </w:rPr>
        <w:t xml:space="preserve">招标文件中标注★号的部分为实质性要求和条件</w:t>
      </w:r>
      <w:r>
        <w:rPr>
          <w:rFonts w:hint="eastAsia" w:ascii="宋体" w:hAnsi="宋体" w:eastAsia="宋体" w:cs="Times New Roman"/>
          <w:sz w:val="24"/>
          <w:szCs w:val="24"/>
          <w:highlight w:val="none"/>
        </w:rPr>
        <w:t xml:space="preserve">。</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12. 投标的语言及计量单位</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12.2 投标文件中使用的计量单位除招标文件中有特殊规定外，一律使用中国法定计量单位。</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 投标报价</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（1）投标的货物总价；</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（2）货物的标准附件、备品备件、专用工具、运输、装卸等各种费用；</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（3）必要的保险费用和各项税金；</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（4）投标总价要求包含安装维保费用。</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13.2 投标人可就第六章“项目需求”中的某个分标货物内容作完整唯一报价，也可就所有分标或某几个分标货物内容分别作完整唯一报价。</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14. 投标货币</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14.1 投标应以人民币报价。</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 投标文件有效期</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15.1 本项目投标文件有效期为：投标文件接收截止时间结束后60天内，投标文件有效期不符合招标文件要求的，该投标人投标无效。</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15.2 在特殊情况下，采购代理机构可与投标人协商延长投标文件的有效期，这种要求与答复均应以书面形式提交。</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16. 投标保证金</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本项目不收取投标保证金。</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17. 投标文件制作工具</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18. 投标文件构成</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投标人编制的投标文件应包括</w:t>
      </w:r>
      <w:r>
        <w:rPr>
          <w:rFonts w:hint="eastAsia" w:ascii="宋体" w:hAnsi="宋体" w:eastAsia="宋体" w:cs="Times New Roman"/>
          <w:b/>
          <w:sz w:val="24"/>
          <w:szCs w:val="24"/>
          <w:highlight w:val="none"/>
        </w:rPr>
        <w:t xml:space="preserve">商务文件、技术文件、评审因素所需材料和其他材料</w:t>
      </w:r>
      <w:r>
        <w:rPr>
          <w:rFonts w:hint="eastAsia" w:ascii="宋体" w:hAnsi="宋体" w:eastAsia="宋体" w:cs="Times New Roman"/>
          <w:sz w:val="24"/>
          <w:szCs w:val="24"/>
          <w:highlight w:val="none"/>
        </w:rPr>
        <w:t xml:space="preserve">等内容，相关文件的提交如未特别注明可提供扫描件。</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18.1 </w:t>
      </w:r>
      <w:r>
        <w:rPr>
          <w:rFonts w:hint="eastAsia" w:ascii="宋体" w:hAnsi="宋体" w:eastAsia="宋体" w:cs="Times New Roman"/>
          <w:b/>
          <w:sz w:val="24"/>
          <w:szCs w:val="24"/>
          <w:highlight w:val="none"/>
        </w:rPr>
        <w:t xml:space="preserve">投标文件格式：</w:t>
      </w:r>
      <w:r/>
    </w:p>
    <w:p>
      <w:pPr>
        <w:ind w:firstLine="480"/>
        <w:spacing w:line="360" w:lineRule="auto"/>
        <w:rPr>
          <w:rFonts w:ascii="Times New Roman" w:hAnsi="Times New Roman" w:eastAsia="宋体" w:cs="Times New Roman"/>
          <w:szCs w:val="24"/>
          <w:highlight w:val="none"/>
        </w:rPr>
      </w:pPr>
      <w:r>
        <w:rPr>
          <w:rFonts w:hint="eastAsia" w:ascii="宋体" w:hAnsi="宋体" w:eastAsia="宋体" w:cs="Times New Roman"/>
          <w:sz w:val="24"/>
          <w:szCs w:val="24"/>
          <w:highlight w:val="none"/>
        </w:rPr>
        <w:t xml:space="preserve">填写投标人名称、投标人地址、法定代表人、委托代理人、日期等内容。</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18.2 </w:t>
      </w:r>
      <w:r>
        <w:rPr>
          <w:rFonts w:hint="eastAsia" w:ascii="宋体" w:hAnsi="宋体" w:eastAsia="宋体" w:cs="Times New Roman"/>
          <w:b/>
          <w:sz w:val="24"/>
          <w:szCs w:val="24"/>
          <w:highlight w:val="none"/>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（1）响应函：请按给定格式及要求填写。</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（2）开标一览表：请按给定格式及要求填写。</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投标产品配置及分项报价表</w:t>
      </w:r>
      <w:r>
        <w:rPr>
          <w:rFonts w:hint="eastAsia" w:ascii="宋体" w:hAnsi="宋体" w:eastAsia="宋体" w:cs="Times New Roman"/>
          <w:sz w:val="24"/>
          <w:szCs w:val="24"/>
          <w:highlight w:val="none"/>
        </w:rPr>
        <w:t xml:space="preserve">：请按第四章“投标文件格式”提供的“</w:t>
      </w:r>
      <w:r>
        <w:rPr>
          <w:rFonts w:hint="eastAsia" w:ascii="宋体" w:hAnsi="宋体" w:eastAsia="宋体" w:cs="Times New Roman"/>
          <w:sz w:val="24"/>
          <w:szCs w:val="24"/>
          <w:highlight w:val="none"/>
        </w:rPr>
        <w:t xml:space="preserve">投标产品配置及分项报价表</w:t>
      </w:r>
      <w:r>
        <w:rPr>
          <w:rFonts w:hint="eastAsia" w:ascii="宋体" w:hAnsi="宋体" w:eastAsia="宋体" w:cs="Times New Roman"/>
          <w:sz w:val="24"/>
          <w:szCs w:val="24"/>
          <w:highlight w:val="none"/>
        </w:rPr>
        <w:t xml:space="preserve">”格式及要求填写。</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（5）资格审查材料：</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（6）法定代表人授权委托书：请按给定格式及要求填写。</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（7）商务条款偏离表：请按给定格式及要求，并根据投标人投标承诺的商务条件与“合同条款”“合同专用条款表”“项目需求”等的差异填写。</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18</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3 </w:t>
      </w:r>
      <w:r>
        <w:rPr>
          <w:rFonts w:hint="eastAsia" w:ascii="宋体" w:hAnsi="宋体" w:eastAsia="宋体" w:cs="Times New Roman"/>
          <w:b/>
          <w:sz w:val="24"/>
          <w:szCs w:val="24"/>
          <w:highlight w:val="none"/>
        </w:rPr>
        <w:t xml:space="preserve">技术文件：</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（1）技术标：可以但不限于技术方案、产品技术资料、招标文件规定的其他文件等，格式自定。</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18</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4</w:t>
      </w:r>
      <w:r>
        <w:rPr>
          <w:rFonts w:hint="eastAsia" w:ascii="宋体" w:hAnsi="宋体" w:eastAsia="宋体" w:cs="Times New Roman"/>
          <w:b/>
          <w:sz w:val="24"/>
          <w:szCs w:val="24"/>
          <w:highlight w:val="none"/>
        </w:rPr>
        <w:t xml:space="preserve">评审因素所需材料：</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如有，请按招标文件要求提供。</w:t>
      </w:r>
      <w:r/>
    </w:p>
    <w:p>
      <w:pPr>
        <w:ind w:firstLine="480"/>
        <w:spacing w:line="360" w:lineRule="auto"/>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18</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5 </w:t>
      </w:r>
      <w:r>
        <w:rPr>
          <w:rFonts w:hint="eastAsia" w:ascii="宋体" w:hAnsi="宋体" w:eastAsia="宋体" w:cs="Times New Roman"/>
          <w:b/>
          <w:sz w:val="24"/>
          <w:szCs w:val="24"/>
          <w:highlight w:val="none"/>
        </w:rPr>
        <w:t xml:space="preserve">其他材料：</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如有，请按招标文件要求提供。</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19. 生成投标文件</w:t>
      </w:r>
      <w:r/>
    </w:p>
    <w:p>
      <w:pPr>
        <w:ind w:firstLine="480"/>
        <w:spacing w:line="360" w:lineRule="auto"/>
        <w:rPr>
          <w:rFonts w:ascii="宋体" w:hAnsi="宋体" w:eastAsia="宋体" w:cs="Times New Roman"/>
          <w:b/>
          <w:bCs/>
          <w:sz w:val="24"/>
          <w:szCs w:val="24"/>
          <w:highlight w:val="none"/>
        </w:rPr>
      </w:pPr>
      <w:r>
        <w:rPr>
          <w:rFonts w:hint="eastAsia" w:ascii="宋体" w:hAnsi="宋体" w:eastAsia="宋体" w:cs="Times New Roman"/>
          <w:sz w:val="24"/>
          <w:szCs w:val="24"/>
          <w:highlight w:val="none"/>
        </w:rPr>
        <w:t xml:space="preserve">19.1 投标文件应由</w:t>
      </w:r>
      <w:r>
        <w:rPr>
          <w:rFonts w:hint="eastAsia" w:ascii="宋体" w:hAnsi="宋体" w:eastAsia="宋体" w:cs="Times New Roman"/>
          <w:b/>
          <w:sz w:val="24"/>
          <w:szCs w:val="24"/>
          <w:highlight w:val="none"/>
        </w:rPr>
        <w:t xml:space="preserve">法定代表人或其委托代理人</w:t>
      </w:r>
      <w:r>
        <w:rPr>
          <w:rFonts w:hint="eastAsia" w:ascii="宋体" w:hAnsi="宋体" w:eastAsia="宋体" w:cs="Times New Roman"/>
          <w:b/>
          <w:bCs/>
          <w:sz w:val="24"/>
          <w:szCs w:val="24"/>
          <w:highlight w:val="none"/>
        </w:rPr>
        <w:t xml:space="preserve">在凡规定签章处逐一签字或盖章并加盖投标人公章（相关内容可以打印、签字、盖章后扫描电子件）或</w:t>
      </w:r>
      <w:r>
        <w:rPr>
          <w:rFonts w:hint="eastAsia" w:ascii="宋体" w:hAnsi="宋体" w:eastAsia="宋体" w:cs="Times New Roman"/>
          <w:b/>
          <w:sz w:val="24"/>
          <w:szCs w:val="24"/>
          <w:highlight w:val="none"/>
        </w:rPr>
        <w:t xml:space="preserve">使用电子签章</w:t>
      </w:r>
      <w:r>
        <w:rPr>
          <w:rFonts w:hint="eastAsia" w:ascii="宋体" w:hAnsi="宋体" w:eastAsia="宋体" w:cs="Times New Roman"/>
          <w:sz w:val="24"/>
          <w:szCs w:val="24"/>
          <w:highlight w:val="none"/>
        </w:rPr>
        <w:t xml:space="preserve">，本招标文件所表述的公章是指刻有投标人法定名称的印章，不包括合同、财务、税务、发票等形式的业务专用章。</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19.2 电子投标文件不得涂改、行间插字或删除，如出现上述情况应重新编制。</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19.3 投标文件制作工具生成内容相同、加密与未加密两个版本电子投标文件，加密版本用于提交上传</w:t>
      </w:r>
      <w:r>
        <w:rPr>
          <w:rFonts w:ascii="宋体" w:hAnsi="宋体" w:eastAsia="宋体" w:cs="Times New Roman"/>
          <w:sz w:val="24"/>
          <w:szCs w:val="24"/>
          <w:highlight w:val="none"/>
        </w:rPr>
        <w:t xml:space="preserve">，未加密版本用于特殊情况处理。</w:t>
      </w:r>
      <w:r/>
    </w:p>
    <w:p>
      <w:pPr>
        <w:keepNext/>
        <w:spacing w:line="360" w:lineRule="auto"/>
        <w:rPr>
          <w:rFonts w:ascii="Times New Roman" w:hAnsi="Times New Roman" w:eastAsia="黑体" w:cs="Times New Roman"/>
          <w:b/>
          <w:sz w:val="28"/>
          <w:szCs w:val="20"/>
          <w:highlight w:val="none"/>
        </w:rPr>
        <w:outlineLvl w:val="1"/>
      </w:pPr>
      <w:r>
        <w:rPr>
          <w:rFonts w:hint="eastAsia" w:ascii="Times New Roman" w:hAnsi="Times New Roman" w:eastAsia="黑体" w:cs="Times New Roman"/>
          <w:b/>
          <w:sz w:val="28"/>
          <w:szCs w:val="20"/>
          <w:highlight w:val="none"/>
        </w:rPr>
        <w:t xml:space="preserve">四、投标文件及样品的提交</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20. 投标文件的上传、修改和撤回</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20.1 投标人应当使用投标文件制作工具，生成加密电子投标文件一份，在规定的截止时间前上传，迟于截止时间的</w:t>
      </w:r>
      <w:r>
        <w:rPr>
          <w:rFonts w:hint="eastAsia" w:ascii="宋体" w:hAnsi="宋体" w:eastAsia="宋体" w:cs="Times New Roman"/>
          <w:b/>
          <w:sz w:val="24"/>
          <w:szCs w:val="24"/>
          <w:highlight w:val="none"/>
        </w:rPr>
        <w:t xml:space="preserve">不予接收</w:t>
      </w:r>
      <w:r>
        <w:rPr>
          <w:rFonts w:hint="eastAsia" w:ascii="宋体" w:hAnsi="宋体" w:eastAsia="宋体" w:cs="Times New Roman"/>
          <w:sz w:val="24"/>
          <w:szCs w:val="24"/>
          <w:highlight w:val="none"/>
        </w:rPr>
        <w:t xml:space="preserve">。</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20.2 投标人在上传投标文件后可以对其修改或撤回，但这种修改或撤回，必须在规定的投标截止时间前。</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ascii="Times New Roman" w:hAnsi="Times New Roman" w:eastAsia="宋体" w:cs="Times New Roman"/>
          <w:szCs w:val="24"/>
          <w:highlight w:val="none"/>
        </w:rPr>
      </w:pPr>
      <w:r>
        <w:rPr>
          <w:rFonts w:hint="eastAsia" w:ascii="宋体" w:hAnsi="宋体" w:eastAsia="宋体" w:cs="Times New Roman"/>
          <w:sz w:val="24"/>
          <w:szCs w:val="24"/>
          <w:highlight w:val="none"/>
        </w:rPr>
        <w:t xml:space="preserve">20.4 投标人不得在投标截止时间后修改投标文件，也不得在投标截止时间起至投标有效期满前撤回投标文件。</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 提交投标样品截止时间和地点</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21.1 采购项目需要提交样品的，投标人应当于招标文件规定的样品接收截止</w:t>
      </w:r>
      <w:r>
        <w:rPr>
          <w:rFonts w:hint="eastAsia" w:ascii="宋体" w:hAnsi="宋体" w:eastAsia="宋体" w:cs="Times New Roman"/>
          <w:bCs/>
          <w:sz w:val="24"/>
          <w:szCs w:val="24"/>
          <w:highlight w:val="none"/>
        </w:rPr>
        <w:t xml:space="preserve">时间前将样品送达指定地点并登记完毕，</w:t>
      </w:r>
      <w:r>
        <w:rPr>
          <w:rFonts w:hint="eastAsia" w:ascii="宋体" w:hAnsi="宋体" w:eastAsia="宋体" w:cs="Times New Roman"/>
          <w:b/>
          <w:bCs/>
          <w:sz w:val="24"/>
          <w:szCs w:val="24"/>
          <w:highlight w:val="none"/>
        </w:rPr>
        <w:t xml:space="preserve">否则不予接收</w:t>
      </w:r>
      <w:r>
        <w:rPr>
          <w:rFonts w:hint="eastAsia" w:ascii="宋体" w:hAnsi="宋体" w:eastAsia="宋体" w:cs="Times New Roman"/>
          <w:sz w:val="24"/>
          <w:szCs w:val="24"/>
          <w:highlight w:val="none"/>
        </w:rPr>
        <w:t xml:space="preserve">。</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21.2 中标人提供的样品由采购人封存、保管，作为履约验收的参考。未中标人提供的样品，投标人应在中标结果公布后两个工作日内领回，否则按无主物品处理。</w:t>
      </w:r>
      <w:r/>
    </w:p>
    <w:p>
      <w:pPr>
        <w:keepNext/>
        <w:spacing w:line="360" w:lineRule="auto"/>
        <w:rPr>
          <w:rFonts w:ascii="Times New Roman" w:hAnsi="Times New Roman" w:eastAsia="黑体" w:cs="Times New Roman"/>
          <w:b/>
          <w:sz w:val="28"/>
          <w:szCs w:val="20"/>
          <w:highlight w:val="none"/>
        </w:rPr>
        <w:outlineLvl w:val="1"/>
      </w:pPr>
      <w:r>
        <w:rPr>
          <w:rFonts w:hint="eastAsia" w:ascii="Times New Roman" w:hAnsi="Times New Roman" w:eastAsia="黑体" w:cs="Times New Roman"/>
          <w:b/>
          <w:sz w:val="28"/>
          <w:szCs w:val="20"/>
          <w:highlight w:val="none"/>
        </w:rPr>
        <w:t xml:space="preserve">五、开标与评标</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22. 开标</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22.1 采购代理机构将在第一章“投标邀请”规定的时间和地点进行开标，投标人的法定代表人或其委托代理人应</w:t>
      </w:r>
      <w:r>
        <w:rPr>
          <w:rFonts w:hint="eastAsia" w:ascii="宋体" w:hAnsi="宋体" w:eastAsia="宋体" w:cs="Times New Roman"/>
          <w:b/>
          <w:sz w:val="24"/>
          <w:szCs w:val="24"/>
          <w:highlight w:val="none"/>
        </w:rPr>
        <w:t xml:space="preserve">准备身份证件和用于生成、加密和上传电子投标文件的CA数字证书参加开标会</w:t>
      </w:r>
      <w:r>
        <w:rPr>
          <w:rFonts w:hint="eastAsia" w:ascii="宋体" w:hAnsi="宋体" w:eastAsia="宋体" w:cs="Times New Roman"/>
          <w:sz w:val="24"/>
          <w:szCs w:val="24"/>
          <w:highlight w:val="none"/>
        </w:rPr>
        <w:t xml:space="preserve">。</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线下开标的，供应商必须按规定时间递交CA数字证书，</w:t>
      </w:r>
      <w:r>
        <w:rPr>
          <w:rFonts w:hint="eastAsia" w:ascii="宋体" w:hAnsi="宋体" w:eastAsia="宋体" w:cs="Times New Roman"/>
          <w:b/>
          <w:sz w:val="24"/>
          <w:szCs w:val="24"/>
          <w:highlight w:val="none"/>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不见面交易的，供应商必须提前登录不见面开标大厅并在投标文件递交截止时间之前完成签到，</w:t>
      </w:r>
      <w:r>
        <w:rPr>
          <w:rFonts w:hint="eastAsia" w:ascii="宋体" w:hAnsi="宋体" w:eastAsia="宋体" w:cs="Times New Roman"/>
          <w:b/>
          <w:sz w:val="24"/>
          <w:szCs w:val="24"/>
          <w:highlight w:val="none"/>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供应商未参加开标会的，视同认可开标结果。</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22.2 开标程序：</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（1）开标会由采购代理机构主持，主持人宣布开标会议开始；</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（2）投标人解密投标文件；</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（4）宣布评标期间的有关事项；</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（5）开标会议结束。</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22.3 采购代理机构将做开标记录（包括投标人名称、投标总报价、分标报价、交货期等）。</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22.4 开标结束后，采购人依法对投标人的资格进行审查。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23. 评标</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23.1 成立评标委员会。评标委员会由采购人代表和评审专家组成。</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23.2 评标的方式。本采购项目采用不公开方式评标，评标的依据为招标文件和投标文件。</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23.3 </w:t>
      </w:r>
      <w:r>
        <w:rPr>
          <w:rFonts w:hint="eastAsia" w:ascii="宋体" w:hAnsi="宋体" w:eastAsia="宋体" w:cs="Times New Roman"/>
          <w:bCs/>
          <w:sz w:val="24"/>
          <w:szCs w:val="24"/>
          <w:highlight w:val="none"/>
        </w:rPr>
        <w:t xml:space="preserve">评标工作程序</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（1）评标委员会负责具体评标事务，并独立履行下列职责：</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①</w:t>
      </w:r>
      <w:r>
        <w:rPr>
          <w:rFonts w:ascii="宋体" w:hAnsi="宋体" w:eastAsia="宋体" w:cs="Times New Roman"/>
          <w:sz w:val="24"/>
          <w:szCs w:val="24"/>
          <w:highlight w:val="none"/>
        </w:rPr>
        <w:t xml:space="preserve">审查、评价投标文件是否符合招标文件的商务、技术等实质性要求；</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②</w:t>
      </w:r>
      <w:r>
        <w:rPr>
          <w:rFonts w:ascii="宋体" w:hAnsi="宋体" w:eastAsia="宋体" w:cs="Times New Roman"/>
          <w:sz w:val="24"/>
          <w:szCs w:val="24"/>
          <w:highlight w:val="none"/>
        </w:rPr>
        <w:t xml:space="preserve">要求投标人对投标文件有关事项作出澄清或者说明；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③</w:t>
      </w:r>
      <w:r>
        <w:rPr>
          <w:rFonts w:ascii="宋体" w:hAnsi="宋体" w:eastAsia="宋体" w:cs="Times New Roman"/>
          <w:sz w:val="24"/>
          <w:szCs w:val="24"/>
          <w:highlight w:val="none"/>
        </w:rPr>
        <w:t xml:space="preserve">对投标文件进行比较和评价</w:t>
      </w:r>
      <w:r>
        <w:rPr>
          <w:rFonts w:hint="eastAsia" w:ascii="宋体" w:hAnsi="宋体" w:eastAsia="宋体" w:cs="Times New Roman"/>
          <w:sz w:val="24"/>
          <w:szCs w:val="24"/>
          <w:highlight w:val="none"/>
        </w:rPr>
        <w:t xml:space="preserve">（对商务、技术及其他内容的比较和评价结束前，评标委员会不得比较和评价投标报价）</w:t>
      </w:r>
      <w:r>
        <w:rPr>
          <w:rFonts w:ascii="宋体" w:hAnsi="宋体" w:eastAsia="宋体" w:cs="Times New Roman"/>
          <w:sz w:val="24"/>
          <w:szCs w:val="24"/>
          <w:highlight w:val="none"/>
        </w:rPr>
        <w:t xml:space="preserve">；</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④</w:t>
      </w:r>
      <w:r>
        <w:rPr>
          <w:rFonts w:ascii="宋体" w:hAnsi="宋体" w:eastAsia="宋体" w:cs="Times New Roman"/>
          <w:sz w:val="24"/>
          <w:szCs w:val="24"/>
          <w:highlight w:val="none"/>
        </w:rPr>
        <w:t xml:space="preserve">确定中标候选人名单，以及根据采购人授权直接确定中标人；</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⑤</w:t>
      </w:r>
      <w:r>
        <w:rPr>
          <w:rFonts w:ascii="宋体" w:hAnsi="宋体" w:eastAsia="宋体" w:cs="Times New Roman"/>
          <w:sz w:val="24"/>
          <w:szCs w:val="24"/>
          <w:highlight w:val="none"/>
        </w:rPr>
        <w:t xml:space="preserve">向采购人、采购代理机构或者有关部门报告评标中发现的违法行为；</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⑥</w:t>
      </w:r>
      <w:r>
        <w:rPr>
          <w:rFonts w:ascii="宋体" w:hAnsi="宋体" w:eastAsia="宋体" w:cs="Times New Roman"/>
          <w:sz w:val="24"/>
          <w:szCs w:val="24"/>
          <w:highlight w:val="none"/>
        </w:rPr>
        <w:t xml:space="preserve">编写评标报告</w:t>
      </w:r>
      <w:r>
        <w:rPr>
          <w:rFonts w:hint="eastAsia" w:ascii="宋体" w:hAnsi="宋体" w:eastAsia="宋体" w:cs="Times New Roman"/>
          <w:sz w:val="24"/>
          <w:szCs w:val="24"/>
          <w:highlight w:val="none"/>
        </w:rPr>
        <w:t xml:space="preserve">。</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（2）评标委员会对符合资格的投标人的投标文件进行符合性审查，以确定其是否满足招标文件的实质性要求。</w:t>
      </w:r>
      <w:r/>
    </w:p>
    <w:p>
      <w:pPr>
        <w:ind w:firstLine="482"/>
        <w:jc w:val="left"/>
        <w:spacing w:line="360" w:lineRule="auto"/>
        <w:rPr>
          <w:rFonts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符合性检查</w:t>
      </w:r>
      <w:r>
        <w:rPr>
          <w:rFonts w:hint="eastAsia" w:ascii="宋体" w:hAnsi="宋体" w:eastAsia="宋体" w:cs="Times New Roman"/>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政府采购异常低价审查：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(1)评审过程中出现下列情形之一的，评审委员会应当启动异常低价投标（响应）审查程序：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①投标（响应）报价低于采购项目预算50%的，即投标（响应）报价&lt;采购项目预算×50%；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②投标（响应）报价低于采购项目最高限价45%的，即投标（响应）报价&lt;采购项目最高限价×45%；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③评审委员会认定的供应商报价过低、有可能影响产品质量或者不能诚信履约的其他情形。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0" w:after="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szCs w:val="24"/>
        </w:rPr>
        <w:t xml:space="preserve">    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ascii="宋体" w:hAnsi="宋体" w:eastAsia="宋体" w:cs="Times New Roman"/>
          <w:sz w:val="24"/>
          <w:szCs w:val="24"/>
          <w:highlight w:val="none"/>
        </w:rPr>
      </w:r>
      <w:r>
        <w:rPr>
          <w:sz w:val="24"/>
          <w:szCs w:val="24"/>
        </w:rP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评标委员会首先审查每份投标文件是否实质性响应了招标文件的要求。实质性响应的投标文件是与招标文件要求的全部实质性条款、条件和规格相符</w:t>
      </w:r>
      <w:r>
        <w:rPr>
          <w:rFonts w:ascii="宋体" w:hAnsi="宋体" w:eastAsia="宋体" w:cs="Times New Roman"/>
          <w:sz w:val="24"/>
          <w:szCs w:val="24"/>
          <w:highlight w:val="none"/>
        </w:rPr>
        <w:t xml:space="preserve">且其余非实质性技术及商务条款</w:t>
      </w:r>
      <w:r>
        <w:rPr>
          <w:rFonts w:hint="eastAsia" w:ascii="宋体" w:hAnsi="宋体" w:eastAsia="宋体" w:cs="Times New Roman"/>
          <w:sz w:val="24"/>
          <w:szCs w:val="24"/>
          <w:highlight w:val="none"/>
        </w:rPr>
        <w:t xml:space="preserve">没有重大偏离或保留。</w:t>
      </w:r>
      <w:r/>
    </w:p>
    <w:p>
      <w:pPr>
        <w:ind w:firstLine="482"/>
        <w:jc w:val="left"/>
        <w:spacing w:line="360" w:lineRule="auto"/>
        <w:rPr>
          <w:rFonts w:ascii="宋体" w:hAnsi="宋体" w:eastAsia="宋体" w:cs="Times New Roman"/>
          <w:sz w:val="24"/>
          <w:szCs w:val="24"/>
          <w:highlight w:val="none"/>
        </w:rPr>
      </w:pPr>
      <w:r>
        <w:rPr>
          <w:rFonts w:ascii="宋体" w:hAnsi="宋体" w:eastAsia="宋体" w:cs="Times New Roman"/>
          <w:b/>
          <w:sz w:val="24"/>
          <w:szCs w:val="24"/>
          <w:highlight w:val="none"/>
        </w:rPr>
        <w:t xml:space="preserve">所谓重大偏离或保留</w:t>
      </w:r>
      <w:r>
        <w:rPr>
          <w:rFonts w:ascii="宋体" w:hAnsi="宋体" w:eastAsia="宋体" w:cs="Times New Roman"/>
          <w:sz w:val="24"/>
          <w:szCs w:val="24"/>
          <w:highlight w:val="none"/>
        </w:rPr>
        <w:t xml:space="preserve">，是指与</w:t>
      </w:r>
      <w:r>
        <w:rPr>
          <w:rFonts w:hint="eastAsia" w:ascii="宋体" w:hAnsi="宋体" w:eastAsia="宋体" w:cs="Times New Roman"/>
          <w:sz w:val="24"/>
          <w:szCs w:val="24"/>
          <w:highlight w:val="none"/>
        </w:rPr>
        <w:t xml:space="preserve">招标</w:t>
      </w:r>
      <w:r>
        <w:rPr>
          <w:rFonts w:ascii="宋体" w:hAnsi="宋体" w:eastAsia="宋体" w:cs="Times New Roman"/>
          <w:sz w:val="24"/>
          <w:szCs w:val="24"/>
          <w:highlight w:val="none"/>
        </w:rPr>
        <w:t xml:space="preserve">文件规定的主要技术指标或重要的商务条款或除上述以外的多项指标要求存在负偏离，或者在实质上与</w:t>
      </w:r>
      <w:r>
        <w:rPr>
          <w:rFonts w:hint="eastAsia" w:ascii="宋体" w:hAnsi="宋体" w:eastAsia="宋体" w:cs="Times New Roman"/>
          <w:sz w:val="24"/>
          <w:szCs w:val="24"/>
          <w:highlight w:val="none"/>
        </w:rPr>
        <w:t xml:space="preserve">招标</w:t>
      </w:r>
      <w:r>
        <w:rPr>
          <w:rFonts w:ascii="宋体" w:hAnsi="宋体" w:eastAsia="宋体" w:cs="Times New Roman"/>
          <w:sz w:val="24"/>
          <w:szCs w:val="24"/>
          <w:highlight w:val="none"/>
        </w:rPr>
        <w:t xml:space="preserve">文件不一致，而且限制了合同中</w:t>
      </w:r>
      <w:r>
        <w:rPr>
          <w:rFonts w:hint="eastAsia" w:ascii="宋体" w:hAnsi="宋体" w:eastAsia="宋体" w:cs="Times New Roman"/>
          <w:sz w:val="24"/>
          <w:szCs w:val="24"/>
          <w:highlight w:val="none"/>
        </w:rPr>
        <w:t xml:space="preserve">采购人和见证方</w:t>
      </w:r>
      <w:r>
        <w:rPr>
          <w:rFonts w:ascii="宋体" w:hAnsi="宋体" w:eastAsia="宋体" w:cs="Times New Roman"/>
          <w:sz w:val="24"/>
          <w:szCs w:val="24"/>
          <w:highlight w:val="none"/>
        </w:rPr>
        <w:t xml:space="preserve">的权利或</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的义务，保留或给予纠正这些偏离的机会将会对其他实质性响应要求的</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的竞争地位产生不公正的影响。重大偏离的认定需经过</w:t>
      </w:r>
      <w:r>
        <w:rPr>
          <w:rFonts w:hint="eastAsia" w:ascii="宋体" w:hAnsi="宋体" w:eastAsia="宋体" w:cs="Times New Roman"/>
          <w:sz w:val="24"/>
          <w:szCs w:val="24"/>
          <w:highlight w:val="none"/>
        </w:rPr>
        <w:t xml:space="preserve">评标委员会</w:t>
      </w:r>
      <w:r>
        <w:rPr>
          <w:rFonts w:ascii="宋体" w:hAnsi="宋体" w:eastAsia="宋体" w:cs="Times New Roman"/>
          <w:sz w:val="24"/>
          <w:szCs w:val="24"/>
          <w:highlight w:val="none"/>
        </w:rPr>
        <w:t xml:space="preserve">2/3及以上成员的认定。</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评标委员会决定投标文件的响应性仅基于投标文件本身的内容，而不寻求外部证据。</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（3）澄清</w:t>
      </w:r>
      <w:r>
        <w:rPr>
          <w:rFonts w:hint="eastAsia" w:ascii="宋体" w:hAnsi="宋体" w:eastAsia="宋体" w:cs="Times New Roman"/>
          <w:sz w:val="24"/>
          <w:szCs w:val="24"/>
          <w:highlight w:val="none"/>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23.4 评标过程的保密</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24. 投标文件报价出现前后不一致的，按照下列规定修正：</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投标文件中开标一览表</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报价表</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内容与投标文件中相应内容不一致的，以开标一览表</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报价表</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为准；</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大写金额和小写金额不一致的，以大写金额为准；</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单价金额小数点或者百分比有明显错位的，以开标一览表的总价为准，并修改单价；</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总价金额与按单价汇总金额不一致的，以单价金额计算结果为准。</w:t>
      </w:r>
      <w:r/>
    </w:p>
    <w:p>
      <w:pPr>
        <w:ind w:firstLine="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同时出现两种以上不一致的，按照前款规定的顺序修正。修正后的报价</w:t>
      </w:r>
      <w:r>
        <w:rPr>
          <w:rFonts w:hint="eastAsia" w:ascii="宋体" w:hAnsi="宋体" w:eastAsia="宋体" w:cs="Times New Roman"/>
          <w:sz w:val="24"/>
          <w:szCs w:val="24"/>
          <w:highlight w:val="none"/>
        </w:rPr>
        <w:t xml:space="preserve">按照政府采购有关规定</w:t>
      </w:r>
      <w:r>
        <w:rPr>
          <w:rFonts w:ascii="宋体" w:hAnsi="宋体" w:eastAsia="宋体" w:cs="Times New Roman"/>
          <w:sz w:val="24"/>
          <w:szCs w:val="24"/>
          <w:highlight w:val="none"/>
        </w:rPr>
        <w:t xml:space="preserve">经投标人确认后产生约束力，投标人不确认的，其投标无效。</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25. </w:t>
      </w:r>
      <w:r>
        <w:rPr>
          <w:rFonts w:hint="eastAsia" w:ascii="宋体" w:hAnsi="宋体" w:eastAsia="宋体" w:cs="Times New Roman"/>
          <w:b/>
          <w:sz w:val="24"/>
          <w:szCs w:val="24"/>
          <w:highlight w:val="none"/>
        </w:rPr>
        <w:t xml:space="preserve">投标人有下列情况之一的，投标无效：</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（1）未按照招标文件的规定提交投标保证金的；</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（2）投标文件未按招标文件要求编制、签署、盖章的；</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（3）不具备招标文件中规定的资格要求的；</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（4）报价超过招标文件中规定的预算金额或者最高限价的；</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（5）投标文件含有采购人不能接受的附加条件的；</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（7）投标人提交的电子投标文件、投标文件备份U盘（仅现场开标适用）均因其自身原因出现问题导致无法电子评标的；</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（8）法律、法规和招标文件规定的其他无效情形。</w:t>
      </w:r>
      <w:r/>
    </w:p>
    <w:p>
      <w:pPr>
        <w:ind w:firstLine="480"/>
        <w:jc w:val="left"/>
        <w:spacing w:line="360" w:lineRule="auto"/>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26. </w:t>
      </w:r>
      <w:r>
        <w:rPr>
          <w:rFonts w:ascii="宋体" w:hAnsi="宋体" w:eastAsia="宋体" w:cs="Times New Roman"/>
          <w:b/>
          <w:sz w:val="24"/>
          <w:szCs w:val="24"/>
          <w:highlight w:val="none"/>
        </w:rPr>
        <w:t xml:space="preserve">有下列情形之一的，视为投标人串通投标，其投标无效：</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不同投标人的投标文件由同一单位或者个人编制；</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不同投标人委托同一单位或者个人办理投标事宜；</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不同投标人的投标文件载明的项目管理成员或者联系人员为同一人；</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不同投标人的投标文件异常一致或者投标报价呈规律性差异；</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不同投标人的投标文件相互混装；</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不同投标人的投标保证金从同一单位或者个人的账户转出。</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27. </w:t>
      </w:r>
      <w:r>
        <w:rPr>
          <w:rFonts w:hint="eastAsia" w:ascii="宋体" w:hAnsi="宋体" w:eastAsia="宋体" w:cs="Times New Roman"/>
          <w:b/>
          <w:sz w:val="24"/>
          <w:szCs w:val="24"/>
          <w:highlight w:val="none"/>
        </w:rPr>
        <w:t xml:space="preserve">在招标采购中，出现下列情形之一的，应予废标：</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（1）符合专业条件的供应商或者对招标文件作实质响应的供应商不足3家的；</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（2）出现影响采购公正的违法、违规行为的；</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（3）投标人的报价均超过了采购预算（最高限价），采购人不能支付的；</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（4）因重大变故，采购任务取消的。</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28. 评标原则、评标办法和特殊情况处理</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28.1 评标原则</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28.2 评标办法</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详见第七章“评标办法”。</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28.3 现场开标特殊情况处理（采用不见面交易方式招标的本条款不适用）</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因“开评标系统”自身故障，开标活动无法正常进行时，将使用投标文件备份U盘继续进行开标活动。</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对于不同载体的投标文件，开标、评标及认定顺序为电子投标文件、投标备份U盘，前项不能读取的可按后项评审。</w:t>
      </w:r>
      <w:r/>
    </w:p>
    <w:p>
      <w:pPr>
        <w:keepNext/>
        <w:spacing w:line="360" w:lineRule="auto"/>
        <w:rPr>
          <w:rFonts w:ascii="Times New Roman" w:hAnsi="Times New Roman" w:eastAsia="黑体" w:cs="Times New Roman"/>
          <w:b/>
          <w:sz w:val="28"/>
          <w:szCs w:val="20"/>
          <w:highlight w:val="none"/>
        </w:rPr>
        <w:outlineLvl w:val="1"/>
      </w:pPr>
      <w:r>
        <w:rPr>
          <w:rFonts w:hint="eastAsia" w:ascii="Times New Roman" w:hAnsi="Times New Roman" w:eastAsia="黑体" w:cs="Times New Roman"/>
          <w:b/>
          <w:sz w:val="28"/>
          <w:szCs w:val="20"/>
          <w:highlight w:val="none"/>
        </w:rPr>
        <w:t xml:space="preserve">六、中标结果</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29. 中标人的确定</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29.1 评标委员会按照评审得分由高到低顺序推荐3名中标候选人。</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29.2 根据采购人的授权，由评标委员会直接确定排名第一的中标候选人为中标人。</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30. 中标通知书</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30.1 中标人确定后，中标结果由采购代理机构公告，中标公告期限为1个工作日。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30.2 在公告中标结果的同时，由采购代理机构向中标人发出中标通知书，</w:t>
      </w:r>
      <w:r>
        <w:rPr>
          <w:rFonts w:hint="eastAsia" w:ascii="宋体" w:hAnsi="宋体" w:eastAsia="宋体" w:cs="Times New Roman"/>
          <w:b/>
          <w:sz w:val="24"/>
          <w:szCs w:val="24"/>
          <w:highlight w:val="none"/>
        </w:rPr>
        <w:t xml:space="preserve">中标供应商在领取中标通知书时，需提供伍份与电子投标文件一致的纸质打印投标文件</w:t>
      </w:r>
      <w:r>
        <w:rPr>
          <w:rFonts w:hint="eastAsia" w:ascii="宋体" w:hAnsi="宋体" w:eastAsia="宋体" w:cs="Times New Roman"/>
          <w:sz w:val="24"/>
          <w:szCs w:val="24"/>
          <w:highlight w:val="none"/>
        </w:rPr>
        <w:t xml:space="preserve">；对未通过资格审查的投标人，应当告知其未通过的原因；采用综合评分法评审的，还应当告知未中标人本人的评审得分与排序。</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30.3 采购代理机构无义务向未中标投标人解释落标原因和退回投标文件。</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31. 签订合同</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31.2 中标人因不可抗力或者自身原因不能履行政府采购合同的，按政府采购有关法律法规执行。</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32. 履约保证金及质保金</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32.3 履约保证金自合同生效之日起至合同约定的中标人主要义务履行完毕止，采购人应当按合同约定及时退还履约保证金。</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sz w:val="24"/>
          <w:szCs w:val="24"/>
          <w:highlight w:val="none"/>
        </w:rPr>
        <w:t xml:space="preserve">32.4 本项目履约保证金要求详见招标文件第五章“合同专用条款表”。</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32.5 采购人与中标人应按第五章“合同专用条款表”约定质保金，质保期内中标人提供的标的性能、质量和服务符合合同约定，经验收合格，质保期满后该款如数退还（不计利息）。</w:t>
      </w:r>
      <w:r/>
    </w:p>
    <w:p>
      <w:pPr>
        <w:keepNext/>
        <w:spacing w:line="360" w:lineRule="auto"/>
        <w:rPr>
          <w:rFonts w:ascii="Times New Roman" w:hAnsi="Times New Roman" w:eastAsia="宋体" w:cs="Times New Roman"/>
          <w:sz w:val="24"/>
          <w:szCs w:val="24"/>
          <w:highlight w:val="none"/>
        </w:rPr>
        <w:outlineLvl w:val="1"/>
      </w:pPr>
      <w:r>
        <w:rPr>
          <w:rFonts w:hint="eastAsia" w:ascii="Times New Roman" w:hAnsi="Times New Roman" w:eastAsia="黑体" w:cs="Times New Roman"/>
          <w:b/>
          <w:sz w:val="28"/>
          <w:szCs w:val="20"/>
          <w:highlight w:val="none"/>
        </w:rPr>
        <w:t xml:space="preserve">七、其他事项</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 解释权</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 有关事宜</w:t>
      </w:r>
      <w:r/>
    </w:p>
    <w:p>
      <w:pPr>
        <w:ind w:firstLine="480"/>
        <w:spacing w:line="360" w:lineRule="auto"/>
        <w:rPr>
          <w:rFonts w:ascii="Times New Roman" w:hAnsi="宋体"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.1 所有与本招标文件有关的函电和通讯地址见第一章“投标邀请”。</w:t>
      </w:r>
      <w:r/>
    </w:p>
    <w:p>
      <w:pPr>
        <w:keepNext/>
        <w:spacing w:line="360" w:lineRule="auto"/>
        <w:rPr>
          <w:rFonts w:ascii="Times New Roman" w:hAnsi="Times New Roman" w:eastAsia="黑体" w:cs="Times New Roman"/>
          <w:b/>
          <w:sz w:val="28"/>
          <w:szCs w:val="20"/>
          <w:highlight w:val="none"/>
        </w:rPr>
        <w:outlineLvl w:val="1"/>
      </w:pPr>
      <w:r>
        <w:rPr>
          <w:rFonts w:hint="eastAsia" w:ascii="Times New Roman" w:hAnsi="Times New Roman" w:eastAsia="黑体" w:cs="Times New Roman"/>
          <w:b/>
          <w:sz w:val="28"/>
          <w:szCs w:val="20"/>
          <w:highlight w:val="none"/>
        </w:rPr>
        <w:t xml:space="preserve">八、政策功能</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 价格给予扣除标准：</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Times New Roman" w:hAnsi="Times New Roman" w:eastAsia="宋体" w:cs="Times New Roman"/>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本项目执行财政部、工业和信息化部关</w:t>
      </w:r>
      <w:r>
        <w:rPr>
          <w:rFonts w:hint="eastAsia" w:ascii="Times New Roman" w:hAnsi="Times New Roman" w:eastAsia="宋体" w:cs="Times New Roman"/>
          <w:sz w:val="24"/>
          <w:szCs w:val="24"/>
          <w:highlight w:val="none"/>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 参加政府采购活动的供应商享受价格评审优惠的应当提供的材料：</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.1 供应商提供的货物全部由小型企业、微型企业制造的，提供《中小企业声明函》（第四章“投标文件格式”）。</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.2 供应商为残疾人福利性单位且提供的货物全部由残疾人福利性单位制造的，符合财库〔2017〕141号文件规定条件的残疾人福利性单位视同小型企业、微型企业，提供《残疾人福利性单位声明函》（第四章“投标文件格式”）。</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根据《财政部司法部</w:t>
      </w:r>
      <w:r>
        <w:rPr>
          <w:rFonts w:hint="eastAsia" w:ascii="Times New Roman" w:hAnsi="Times New Roman" w:eastAsia="宋体" w:cs="Times New Roman"/>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 支持绿色发展</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39</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lang w:val="en-US" w:eastAsia="zh-CN"/>
        </w:rPr>
        <w:t xml:space="preserve">0</w:t>
      </w:r>
      <w:r>
        <w:rPr>
          <w:rFonts w:hint="eastAsia" w:ascii="Times New Roman" w:hAnsi="Times New Roman" w:eastAsia="宋体" w:cs="Times New Roman"/>
          <w:sz w:val="24"/>
          <w:szCs w:val="24"/>
          <w:highlight w:val="none"/>
        </w:rPr>
        <w:t xml:space="preserve">. 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878"/>
        <w:numPr>
          <w:ilvl w:val="0"/>
          <w:numId w:val="0"/>
        </w:numPr>
        <w:rPr>
          <w:b w:val="0"/>
          <w:highlight w:val="none"/>
        </w:rPr>
      </w:pPr>
      <w:r>
        <w:rPr>
          <w:rFonts w:ascii="宋体"/>
          <w:highlight w:val="none"/>
        </w:rPr>
        <w:br w:type="page" w:clear="all"/>
      </w:r>
      <w:bookmarkStart w:id="7" w:name="_Toc513622228"/>
      <w:r/>
      <w:bookmarkStart w:id="8" w:name="_Toc150765436"/>
      <w:r/>
      <w:bookmarkStart w:id="9" w:name="_Toc139966427"/>
      <w:r/>
      <w:bookmarkStart w:id="10" w:name="_Toc139967211"/>
      <w:r>
        <w:rPr>
          <w:rFonts w:hint="eastAsia" w:hAnsi="宋体"/>
          <w:highlight w:val="none"/>
        </w:rPr>
        <w:t xml:space="preserve">第三章政府采购合同格式</w:t>
      </w:r>
      <w:bookmarkEnd w:id="7"/>
      <w:r/>
      <w:bookmarkEnd w:id="8"/>
      <w:r/>
      <w:bookmarkEnd w:id="9"/>
      <w:r/>
      <w:bookmarkEnd w:id="10"/>
      <w:r/>
      <w:r/>
    </w:p>
    <w:p>
      <w:pPr>
        <w:ind w:firstLine="880"/>
        <w:spacing w:line="360" w:lineRule="auto"/>
        <w:rPr>
          <w:rFonts w:ascii="宋体" w:hAnsi="宋体" w:eastAsia="宋体" w:cs="Times New Roman"/>
          <w:sz w:val="44"/>
          <w:szCs w:val="24"/>
          <w:highlight w:val="none"/>
        </w:rPr>
      </w:pPr>
      <w:r>
        <w:rPr>
          <w:rFonts w:ascii="宋体" w:hAnsi="宋体" w:eastAsia="宋体" w:cs="Times New Roman"/>
          <w:sz w:val="44"/>
          <w:szCs w:val="24"/>
          <w:highlight w:val="none"/>
        </w:rPr>
      </w:r>
      <w:r/>
    </w:p>
    <w:p>
      <w:pPr>
        <w:ind w:firstLine="880"/>
        <w:spacing w:line="360" w:lineRule="auto"/>
        <w:rPr>
          <w:rFonts w:ascii="宋体" w:hAnsi="宋体" w:eastAsia="宋体" w:cs="Times New Roman"/>
          <w:sz w:val="44"/>
          <w:szCs w:val="24"/>
          <w:highlight w:val="none"/>
        </w:rPr>
      </w:pPr>
      <w:r>
        <w:rPr>
          <w:rFonts w:ascii="宋体" w:hAnsi="宋体" w:eastAsia="宋体" w:cs="Times New Roman"/>
          <w:sz w:val="44"/>
          <w:szCs w:val="24"/>
          <w:highlight w:val="none"/>
        </w:rPr>
      </w:r>
      <w:r/>
    </w:p>
    <w:p>
      <w:pPr>
        <w:ind w:firstLine="880"/>
        <w:spacing w:line="360" w:lineRule="auto"/>
        <w:rPr>
          <w:rFonts w:ascii="宋体" w:hAnsi="宋体" w:eastAsia="宋体" w:cs="Times New Roman"/>
          <w:sz w:val="44"/>
          <w:szCs w:val="24"/>
          <w:highlight w:val="none"/>
        </w:rPr>
      </w:pPr>
      <w:r>
        <w:rPr>
          <w:rFonts w:ascii="宋体" w:hAnsi="宋体" w:eastAsia="宋体" w:cs="Times New Roman"/>
          <w:sz w:val="44"/>
          <w:szCs w:val="24"/>
          <w:highlight w:val="none"/>
        </w:rPr>
      </w:r>
      <w:r/>
    </w:p>
    <w:p>
      <w:pPr>
        <w:ind w:firstLine="880"/>
        <w:spacing w:line="360" w:lineRule="auto"/>
        <w:rPr>
          <w:rFonts w:ascii="宋体" w:hAnsi="宋体" w:eastAsia="宋体" w:cs="Times New Roman"/>
          <w:sz w:val="44"/>
          <w:szCs w:val="24"/>
          <w:highlight w:val="none"/>
        </w:rPr>
      </w:pPr>
      <w:r>
        <w:rPr>
          <w:rFonts w:ascii="宋体" w:hAnsi="宋体" w:eastAsia="宋体" w:cs="Times New Roman"/>
          <w:sz w:val="44"/>
          <w:szCs w:val="24"/>
          <w:highlight w:val="none"/>
        </w:rPr>
      </w:r>
      <w:r/>
    </w:p>
    <w:p>
      <w:pPr>
        <w:ind w:firstLine="2078"/>
        <w:spacing w:line="360" w:lineRule="auto"/>
        <w:rPr>
          <w:rFonts w:ascii="宋体" w:hAnsi="宋体" w:eastAsia="宋体" w:cs="Times New Roman"/>
          <w:b/>
          <w:bCs/>
          <w:sz w:val="52"/>
          <w:szCs w:val="24"/>
          <w:highlight w:val="none"/>
        </w:rPr>
      </w:pPr>
      <w:r>
        <w:rPr>
          <w:rFonts w:hint="eastAsia" w:ascii="宋体" w:hAnsi="宋体" w:eastAsia="宋体" w:cs="Times New Roman"/>
          <w:b/>
          <w:bCs/>
          <w:sz w:val="52"/>
          <w:szCs w:val="24"/>
          <w:highlight w:val="none"/>
        </w:rPr>
        <w:t xml:space="preserve">连 云 港 市 政 府 采 购</w:t>
      </w:r>
      <w:r/>
    </w:p>
    <w:p>
      <w:pPr>
        <w:ind w:firstLine="420"/>
        <w:spacing w:line="360" w:lineRule="auto"/>
        <w:rPr>
          <w:rFonts w:ascii="宋体" w:hAnsi="宋体" w:eastAsia="宋体" w:cs="Times New Roman"/>
          <w:szCs w:val="24"/>
          <w:highlight w:val="none"/>
        </w:rPr>
      </w:pPr>
      <w:r>
        <w:rPr>
          <w:rFonts w:ascii="宋体" w:hAnsi="宋体" w:eastAsia="宋体" w:cs="Times New Roman"/>
          <w:szCs w:val="24"/>
          <w:highlight w:val="none"/>
        </w:rPr>
      </w:r>
      <w:r/>
    </w:p>
    <w:p>
      <w:pPr>
        <w:ind w:firstLine="883"/>
        <w:jc w:val="center"/>
        <w:spacing w:line="360" w:lineRule="auto"/>
        <w:rPr>
          <w:rFonts w:ascii="宋体" w:hAnsi="宋体" w:eastAsia="宋体" w:cs="Times New Roman"/>
          <w:b/>
          <w:bCs/>
          <w:sz w:val="44"/>
          <w:szCs w:val="24"/>
          <w:highlight w:val="none"/>
        </w:rPr>
      </w:pPr>
      <w:r>
        <w:rPr>
          <w:rFonts w:hint="eastAsia" w:ascii="宋体" w:hAnsi="宋体" w:eastAsia="宋体" w:cs="Times New Roman"/>
          <w:b/>
          <w:bCs/>
          <w:sz w:val="44"/>
          <w:szCs w:val="24"/>
          <w:highlight w:val="none"/>
        </w:rPr>
        <w:t xml:space="preserve">合同</w:t>
      </w:r>
      <w:r/>
    </w:p>
    <w:p>
      <w:pPr>
        <w:ind w:firstLine="420"/>
        <w:spacing w:line="360" w:lineRule="auto"/>
        <w:rPr>
          <w:rFonts w:ascii="宋体" w:hAnsi="宋体" w:eastAsia="宋体" w:cs="Times New Roman"/>
          <w:szCs w:val="24"/>
          <w:highlight w:val="none"/>
        </w:rPr>
      </w:pPr>
      <w:r>
        <w:rPr>
          <w:rFonts w:ascii="宋体" w:hAnsi="宋体" w:eastAsia="宋体" w:cs="Times New Roman"/>
          <w:szCs w:val="24"/>
          <w:highlight w:val="none"/>
        </w:rPr>
      </w:r>
      <w:r/>
    </w:p>
    <w:p>
      <w:pPr>
        <w:ind w:firstLine="3507"/>
        <w:spacing w:line="360" w:lineRule="auto"/>
        <w:rPr>
          <w:rFonts w:ascii="宋体" w:hAnsi="宋体" w:eastAsia="宋体" w:cs="Times New Roman"/>
          <w:b/>
          <w:bCs/>
          <w:sz w:val="44"/>
          <w:szCs w:val="24"/>
          <w:highlight w:val="none"/>
        </w:rPr>
      </w:pPr>
      <w:r>
        <w:rPr>
          <w:rFonts w:ascii="宋体" w:hAnsi="宋体" w:eastAsia="宋体" w:cs="Times New Roman"/>
          <w:b/>
          <w:bCs/>
          <w:sz w:val="44"/>
          <w:szCs w:val="24"/>
          <w:highlight w:val="none"/>
        </w:rPr>
      </w:r>
      <w:r/>
    </w:p>
    <w:p>
      <w:pPr>
        <w:ind w:firstLine="3507"/>
        <w:spacing w:line="360" w:lineRule="auto"/>
        <w:rPr>
          <w:rFonts w:ascii="宋体" w:hAnsi="宋体" w:eastAsia="宋体" w:cs="Times New Roman"/>
          <w:b/>
          <w:bCs/>
          <w:sz w:val="44"/>
          <w:szCs w:val="24"/>
          <w:highlight w:val="none"/>
        </w:rPr>
      </w:pPr>
      <w:r>
        <w:rPr>
          <w:rFonts w:ascii="宋体" w:hAnsi="宋体" w:eastAsia="宋体" w:cs="Times New Roman"/>
          <w:b/>
          <w:bCs/>
          <w:sz w:val="44"/>
          <w:szCs w:val="24"/>
          <w:highlight w:val="none"/>
        </w:rPr>
      </w:r>
      <w:r/>
    </w:p>
    <w:p>
      <w:pPr>
        <w:ind w:firstLine="3507"/>
        <w:spacing w:line="360" w:lineRule="auto"/>
        <w:rPr>
          <w:rFonts w:ascii="宋体" w:hAnsi="宋体" w:eastAsia="宋体" w:cs="Times New Roman"/>
          <w:b/>
          <w:bCs/>
          <w:sz w:val="44"/>
          <w:szCs w:val="24"/>
          <w:highlight w:val="none"/>
        </w:rPr>
      </w:pPr>
      <w:r>
        <w:rPr>
          <w:rFonts w:ascii="宋体" w:hAnsi="宋体" w:eastAsia="宋体" w:cs="Times New Roman"/>
          <w:b/>
          <w:bCs/>
          <w:sz w:val="44"/>
          <w:szCs w:val="24"/>
          <w:highlight w:val="none"/>
        </w:rPr>
      </w:r>
      <w:r/>
    </w:p>
    <w:p>
      <w:pPr>
        <w:ind w:firstLine="1802"/>
        <w:spacing w:line="360" w:lineRule="auto"/>
        <w:rPr>
          <w:rFonts w:ascii="宋体" w:hAnsi="宋体" w:eastAsia="宋体" w:cs="Times New Roman"/>
          <w:b/>
          <w:bCs/>
          <w:sz w:val="44"/>
          <w:szCs w:val="44"/>
          <w:highlight w:val="none"/>
        </w:rPr>
      </w:pPr>
      <w:r>
        <w:rPr>
          <w:rFonts w:hint="eastAsia" w:ascii="宋体" w:hAnsi="宋体" w:eastAsia="宋体" w:cs="Times New Roman"/>
          <w:b/>
          <w:bCs/>
          <w:sz w:val="44"/>
          <w:szCs w:val="44"/>
          <w:highlight w:val="none"/>
        </w:rPr>
        <w:t xml:space="preserve">合同编号：</w:t>
      </w:r>
      <w:r/>
    </w:p>
    <w:p>
      <w:pPr>
        <w:ind w:firstLine="880"/>
        <w:spacing w:line="360" w:lineRule="auto"/>
        <w:rPr>
          <w:rFonts w:ascii="宋体" w:hAnsi="宋体" w:eastAsia="宋体" w:cs="Times New Roman"/>
          <w:sz w:val="44"/>
          <w:szCs w:val="24"/>
          <w:highlight w:val="none"/>
        </w:rPr>
      </w:pPr>
      <w:r>
        <w:rPr>
          <w:rFonts w:ascii="宋体" w:hAnsi="宋体" w:eastAsia="宋体" w:cs="Times New Roman"/>
          <w:sz w:val="44"/>
          <w:szCs w:val="24"/>
          <w:highlight w:val="none"/>
        </w:rPr>
      </w:r>
      <w:r/>
    </w:p>
    <w:p>
      <w:pPr>
        <w:ind w:firstLine="880"/>
        <w:spacing w:line="360" w:lineRule="auto"/>
        <w:rPr>
          <w:rFonts w:ascii="宋体" w:hAnsi="宋体" w:eastAsia="宋体" w:cs="Times New Roman"/>
          <w:sz w:val="44"/>
          <w:szCs w:val="24"/>
          <w:highlight w:val="none"/>
        </w:rPr>
      </w:pPr>
      <w:r>
        <w:rPr>
          <w:rFonts w:ascii="宋体" w:hAnsi="宋体" w:eastAsia="宋体" w:cs="Times New Roman"/>
          <w:sz w:val="44"/>
          <w:szCs w:val="24"/>
          <w:highlight w:val="none"/>
        </w:rPr>
      </w:r>
      <w:r/>
    </w:p>
    <w:p>
      <w:pPr>
        <w:ind w:firstLine="880"/>
        <w:spacing w:line="360" w:lineRule="auto"/>
        <w:rPr>
          <w:rFonts w:ascii="宋体" w:hAnsi="宋体" w:eastAsia="宋体" w:cs="Times New Roman"/>
          <w:sz w:val="44"/>
          <w:szCs w:val="24"/>
          <w:highlight w:val="none"/>
        </w:rPr>
      </w:pPr>
      <w:r>
        <w:rPr>
          <w:rFonts w:ascii="宋体" w:hAnsi="宋体" w:eastAsia="宋体" w:cs="Times New Roman"/>
          <w:sz w:val="44"/>
          <w:szCs w:val="24"/>
          <w:highlight w:val="none"/>
        </w:rPr>
      </w:r>
      <w:r/>
    </w:p>
    <w:p>
      <w:pPr>
        <w:ind w:firstLine="1758"/>
        <w:spacing w:line="360" w:lineRule="auto"/>
        <w:rPr>
          <w:rFonts w:ascii="宋体" w:hAnsi="宋体" w:eastAsia="宋体" w:cs="Times New Roman"/>
          <w:b/>
          <w:bCs/>
          <w:sz w:val="44"/>
          <w:szCs w:val="24"/>
          <w:highlight w:val="none"/>
        </w:rPr>
      </w:pPr>
      <w:r>
        <w:rPr>
          <w:rFonts w:hint="eastAsia" w:ascii="宋体" w:hAnsi="宋体" w:eastAsia="宋体" w:cs="Times New Roman"/>
          <w:b/>
          <w:bCs/>
          <w:sz w:val="44"/>
          <w:szCs w:val="24"/>
          <w:highlight w:val="none"/>
        </w:rPr>
        <w:t xml:space="preserve">采购人：</w:t>
      </w:r>
      <w:r/>
    </w:p>
    <w:p>
      <w:pPr>
        <w:ind w:firstLine="1758"/>
        <w:spacing w:line="360" w:lineRule="auto"/>
        <w:rPr>
          <w:rFonts w:ascii="宋体" w:hAnsi="宋体" w:eastAsia="宋体" w:cs="Times New Roman"/>
          <w:b/>
          <w:bCs/>
          <w:sz w:val="44"/>
          <w:szCs w:val="24"/>
          <w:highlight w:val="none"/>
        </w:rPr>
      </w:pPr>
      <w:r>
        <w:rPr>
          <w:rFonts w:hint="eastAsia" w:ascii="宋体" w:hAnsi="宋体" w:eastAsia="宋体" w:cs="Times New Roman"/>
          <w:b/>
          <w:bCs/>
          <w:sz w:val="44"/>
          <w:szCs w:val="24"/>
          <w:highlight w:val="none"/>
        </w:rPr>
        <w:t xml:space="preserve">中标人：</w:t>
      </w:r>
      <w:r/>
    </w:p>
    <w:p>
      <w:pPr>
        <w:ind w:firstLine="420"/>
        <w:spacing w:line="360" w:lineRule="auto"/>
        <w:rPr>
          <w:rFonts w:ascii="宋体" w:hAnsi="宋体" w:eastAsia="宋体" w:cs="Times New Roman"/>
          <w:szCs w:val="24"/>
          <w:highlight w:val="none"/>
        </w:rPr>
      </w:pPr>
      <w:r>
        <w:rPr>
          <w:rFonts w:ascii="宋体" w:hAnsi="宋体" w:eastAsia="宋体" w:cs="Times New Roman"/>
          <w:szCs w:val="24"/>
          <w:highlight w:val="none"/>
        </w:rPr>
      </w:r>
      <w:r/>
    </w:p>
    <w:p>
      <w:pPr>
        <w:ind w:firstLine="420"/>
        <w:spacing w:line="360" w:lineRule="auto"/>
        <w:rPr>
          <w:rFonts w:ascii="宋体" w:hAnsi="宋体" w:eastAsia="宋体" w:cs="Times New Roman"/>
          <w:szCs w:val="24"/>
          <w:highlight w:val="none"/>
        </w:rPr>
      </w:pPr>
      <w:r>
        <w:rPr>
          <w:rFonts w:ascii="宋体" w:hAnsi="宋体" w:eastAsia="宋体" w:cs="Times New Roman"/>
          <w:szCs w:val="24"/>
          <w:highlight w:val="none"/>
        </w:rPr>
      </w:r>
      <w:r/>
    </w:p>
    <w:p>
      <w:pPr>
        <w:ind w:firstLine="420"/>
        <w:spacing w:line="360" w:lineRule="auto"/>
        <w:rPr>
          <w:rFonts w:ascii="宋体" w:hAnsi="宋体" w:eastAsia="宋体" w:cs="Times New Roman"/>
          <w:szCs w:val="24"/>
          <w:highlight w:val="none"/>
        </w:rPr>
      </w:pPr>
      <w:r>
        <w:rPr>
          <w:rFonts w:ascii="宋体" w:hAnsi="宋体" w:eastAsia="宋体" w:cs="Times New Roman"/>
          <w:szCs w:val="24"/>
          <w:highlight w:val="none"/>
        </w:rPr>
      </w:r>
      <w:r/>
    </w:p>
    <w:p>
      <w:pPr>
        <w:ind w:firstLine="560"/>
        <w:spacing w:line="360" w:lineRule="auto"/>
        <w:rPr>
          <w:rFonts w:ascii="宋体" w:hAnsi="宋体" w:eastAsia="宋体" w:cs="Times New Roman"/>
          <w:sz w:val="28"/>
          <w:szCs w:val="24"/>
          <w:highlight w:val="none"/>
        </w:rPr>
      </w:pPr>
      <w:r>
        <w:rPr>
          <w:rFonts w:ascii="宋体" w:hAnsi="宋体" w:eastAsia="宋体" w:cs="Times New Roman"/>
          <w:sz w:val="28"/>
          <w:szCs w:val="24"/>
          <w:highlight w:val="none"/>
        </w:rPr>
      </w:r>
      <w:r/>
    </w:p>
    <w:p>
      <w:pPr>
        <w:jc w:val="center"/>
        <w:spacing w:line="560" w:lineRule="exact"/>
        <w:rPr>
          <w:rFonts w:ascii="黑体" w:hAnsi="黑体" w:eastAsia="黑体" w:cs="Times New Roman"/>
          <w:bCs/>
          <w:szCs w:val="24"/>
          <w:highlight w:val="none"/>
        </w:rPr>
      </w:pPr>
      <w:r>
        <w:rPr>
          <w:rFonts w:hint="eastAsia" w:ascii="Times New Roman" w:hAnsi="Times New Roman" w:eastAsia="宋体" w:cs="Times New Roman"/>
          <w:b/>
          <w:sz w:val="32"/>
          <w:szCs w:val="32"/>
          <w:highlight w:val="none"/>
        </w:rPr>
        <w:t xml:space="preserve">连云港市政府采购合同</w:t>
      </w:r>
      <w:r/>
    </w:p>
    <w:p>
      <w:pPr>
        <w:ind w:firstLine="643"/>
        <w:jc w:val="center"/>
        <w:spacing w:line="360" w:lineRule="auto"/>
        <w:rPr>
          <w:rFonts w:ascii="宋体" w:hAnsi="宋体" w:eastAsia="宋体" w:cs="Times New Roman"/>
          <w:b/>
          <w:color w:val="000000"/>
          <w:sz w:val="32"/>
          <w:szCs w:val="20"/>
          <w:highlight w:val="none"/>
        </w:rPr>
      </w:pPr>
      <w:r>
        <w:rPr>
          <w:rFonts w:ascii="宋体" w:hAnsi="宋体" w:eastAsia="宋体" w:cs="Times New Roman"/>
          <w:b/>
          <w:color w:val="000000"/>
          <w:sz w:val="32"/>
          <w:szCs w:val="20"/>
          <w:highlight w:val="none"/>
        </w:rPr>
      </w:r>
      <w:r/>
    </w:p>
    <w:p>
      <w:pPr>
        <w:spacing w:line="360" w:lineRule="auto"/>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sz w:val="24"/>
          <w:szCs w:val="24"/>
          <w:highlight w:val="none"/>
        </w:rPr>
        <w:t xml:space="preserve">甲方：</w:t>
      </w:r>
      <w:r>
        <w:rPr>
          <w:rFonts w:hint="eastAsia" w:cs="宋体" w:asciiTheme="minorEastAsia" w:hAnsiTheme="minorEastAsia"/>
          <w:sz w:val="24"/>
          <w:szCs w:val="24"/>
          <w:highlight w:val="none"/>
          <w:lang w:eastAsia="zh-CN"/>
        </w:rPr>
        <w:t xml:space="preserve">连云港市新海初级中学</w:t>
      </w:r>
      <w:r/>
    </w:p>
    <w:p>
      <w:pPr>
        <w:spacing w:line="360"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乙方：</w:t>
      </w:r>
      <w:r/>
    </w:p>
    <w:p>
      <w:pPr>
        <w:ind w:firstLine="480"/>
        <w:jc w:val="left"/>
        <w:spacing w:line="360" w:lineRule="auto"/>
        <w:widowControl/>
        <w:rPr>
          <w:rFonts w:cs="宋体" w:asciiTheme="minorEastAsia" w:hAnsiTheme="minorEastAsia"/>
          <w:sz w:val="24"/>
          <w:szCs w:val="24"/>
          <w:highlight w:val="none"/>
        </w:rPr>
      </w:pPr>
      <w:r>
        <w:rPr>
          <w:rFonts w:hint="eastAsia" w:cs="Times New Roman" w:asciiTheme="minorEastAsia" w:hAnsiTheme="minorEastAsia"/>
          <w:sz w:val="24"/>
          <w:szCs w:val="24"/>
          <w:highlight w:val="none"/>
        </w:rPr>
        <w:t xml:space="preserve">甲方委托</w:t>
      </w:r>
      <w:r>
        <w:rPr>
          <w:rFonts w:hint="eastAsia" w:cs="宋体" w:asciiTheme="minorEastAsia" w:hAnsiTheme="minorEastAsia"/>
          <w:sz w:val="24"/>
          <w:szCs w:val="24"/>
          <w:highlight w:val="none"/>
          <w:u w:val="single"/>
          <w:lang w:eastAsia="zh-CN"/>
        </w:rPr>
        <w:t xml:space="preserve">江苏建友兴业工程项目管理有限公司</w:t>
      </w:r>
      <w:r>
        <w:rPr>
          <w:rFonts w:hint="eastAsia" w:cs="Times New Roman" w:asciiTheme="minorEastAsia" w:hAnsiTheme="minorEastAsia"/>
          <w:sz w:val="24"/>
          <w:szCs w:val="24"/>
          <w:highlight w:val="none"/>
        </w:rPr>
        <w:t xml:space="preserve">就</w:t>
      </w:r>
      <w:r>
        <w:rPr>
          <w:rFonts w:hint="eastAsia" w:cs="Times New Roman" w:asciiTheme="minorEastAsia" w:hAnsiTheme="minorEastAsia"/>
          <w:sz w:val="24"/>
          <w:szCs w:val="24"/>
          <w:highlight w:val="none"/>
          <w:u w:val="single"/>
          <w:lang w:eastAsia="zh-CN"/>
        </w:rPr>
        <w:t xml:space="preserve">连云港市新海初级中学</w:t>
      </w:r>
      <w:r>
        <w:rPr>
          <w:rFonts w:hint="eastAsia" w:cs="Times New Roman" w:asciiTheme="minorEastAsia" w:hAnsiTheme="minorEastAsia"/>
          <w:sz w:val="24"/>
          <w:szCs w:val="24"/>
          <w:highlight w:val="none"/>
          <w:u w:val="single"/>
        </w:rPr>
        <w:t xml:space="preserve">.......设备采购</w:t>
      </w:r>
      <w:r>
        <w:rPr>
          <w:rFonts w:hint="eastAsia" w:cs="Times New Roman" w:asciiTheme="minorEastAsia" w:hAnsiTheme="minorEastAsia"/>
          <w:sz w:val="24"/>
          <w:szCs w:val="24"/>
          <w:highlight w:val="none"/>
        </w:rPr>
        <w:t xml:space="preserve">设备对外公开招标（标段编号：）。经过专家评审，确定乙方为中标单位。为规范甲乙双方权利与义务</w:t>
      </w:r>
      <w:r>
        <w:rPr>
          <w:rFonts w:hint="eastAsia" w:cs="Times New Roman" w:asciiTheme="minorEastAsia" w:hAnsiTheme="minorEastAsia"/>
          <w:color w:val="000000"/>
          <w:sz w:val="24"/>
          <w:szCs w:val="24"/>
          <w:highlight w:val="none"/>
        </w:rPr>
        <w:t xml:space="preserve">，特订立本合同。</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一、设备名称、型号、数量和价格</w:t>
      </w:r>
      <w:r/>
    </w:p>
    <w:tbl>
      <w:tblPr>
        <w:tblStyle w:val="888"/>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0"/>
        <w:gridCol w:w="2036"/>
        <w:gridCol w:w="1080"/>
        <w:gridCol w:w="1500"/>
        <w:gridCol w:w="739"/>
        <w:gridCol w:w="705"/>
        <w:gridCol w:w="1376"/>
        <w:gridCol w:w="1275"/>
      </w:tblGrid>
      <w:tr>
        <w:trPr>
          <w:jc w:val="center"/>
          <w:trHeight w:val="505"/>
        </w:trPr>
        <w:tc>
          <w:tcPr>
            <w:tcW w:w="1330" w:type="dxa"/>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设备名称</w:t>
            </w:r>
            <w:r/>
          </w:p>
        </w:tc>
        <w:tc>
          <w:tcPr>
            <w:tcW w:w="2036" w:type="dxa"/>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生产厂家</w:t>
            </w:r>
            <w:r/>
          </w:p>
        </w:tc>
        <w:tc>
          <w:tcPr>
            <w:tcW w:w="1080" w:type="dxa"/>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注册证号</w:t>
            </w:r>
            <w:r/>
          </w:p>
        </w:tc>
        <w:tc>
          <w:tcPr>
            <w:tcW w:w="1500" w:type="dxa"/>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规格型号</w:t>
            </w:r>
            <w:r/>
          </w:p>
        </w:tc>
        <w:tc>
          <w:tcPr>
            <w:tcW w:w="739" w:type="dxa"/>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单位</w:t>
            </w:r>
            <w:r/>
          </w:p>
        </w:tc>
        <w:tc>
          <w:tcPr>
            <w:tcW w:w="705" w:type="dxa"/>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p>
        </w:tc>
        <w:tc>
          <w:tcPr>
            <w:tcW w:w="1376" w:type="dxa"/>
            <w:vAlign w:val="center"/>
            <w:textDirection w:val="lrTb"/>
            <w:noWrap w:val="false"/>
          </w:tcPr>
          <w:p>
            <w:pPr>
              <w:jc w:val="center"/>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单价（元）</w:t>
            </w:r>
            <w:r/>
          </w:p>
        </w:tc>
        <w:tc>
          <w:tcPr>
            <w:tcW w:w="1275" w:type="dxa"/>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金额（元）</w:t>
            </w:r>
            <w:r/>
          </w:p>
        </w:tc>
      </w:tr>
      <w:tr>
        <w:trPr>
          <w:jc w:val="center"/>
          <w:trHeight w:val="774"/>
        </w:trPr>
        <w:tc>
          <w:tcPr>
            <w:tcW w:w="1330" w:type="dxa"/>
            <w:vAlign w:val="center"/>
            <w:textDirection w:val="lrTb"/>
            <w:noWrap w:val="false"/>
          </w:tcPr>
          <w:p>
            <w:pPr>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036" w:type="dxa"/>
            <w:vAlign w:val="center"/>
            <w:textDirection w:val="lrTb"/>
            <w:noWrap w:val="false"/>
          </w:tcPr>
          <w:p>
            <w:pPr>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080" w:type="dxa"/>
            <w:vAlign w:val="center"/>
            <w:textDirection w:val="lrTb"/>
            <w:noWrap w:val="false"/>
          </w:tcPr>
          <w:p>
            <w:pPr>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00" w:type="dxa"/>
            <w:vAlign w:val="center"/>
            <w:textDirection w:val="lrTb"/>
            <w:noWrap w:val="false"/>
          </w:tcPr>
          <w:p>
            <w:pPr>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39" w:type="dxa"/>
            <w:vAlign w:val="center"/>
            <w:textDirection w:val="lrTb"/>
            <w:noWrap w:val="false"/>
          </w:tcPr>
          <w:p>
            <w:pPr>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5" w:type="dxa"/>
            <w:vAlign w:val="center"/>
            <w:textDirection w:val="lrTb"/>
            <w:noWrap w:val="false"/>
          </w:tcPr>
          <w:p>
            <w:pPr>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76" w:type="dxa"/>
            <w:vAlign w:val="center"/>
            <w:textDirection w:val="lrTb"/>
            <w:noWrap w:val="false"/>
          </w:tcPr>
          <w:p>
            <w:pPr>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275" w:type="dxa"/>
            <w:vAlign w:val="center"/>
            <w:textDirection w:val="lrTb"/>
            <w:noWrap w:val="false"/>
          </w:tcPr>
          <w:p>
            <w:pPr>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Height w:val="490"/>
        </w:trPr>
        <w:tc>
          <w:tcPr>
            <w:gridSpan w:val="6"/>
            <w:tcW w:w="7390" w:type="dxa"/>
            <w:vAlign w:val="bottom"/>
            <w:textDirection w:val="lrTb"/>
            <w:noWrap w:val="false"/>
          </w:tcPr>
          <w:p>
            <w:pPr>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总计（大写）：人民币   元整</w:t>
            </w:r>
            <w:r/>
          </w:p>
        </w:tc>
        <w:tc>
          <w:tcPr>
            <w:gridSpan w:val="2"/>
            <w:tcW w:w="2651" w:type="dxa"/>
            <w:vAlign w:val="bottom"/>
            <w:textDirection w:val="lrTb"/>
            <w:noWrap w:val="false"/>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（小写）：</w:t>
            </w:r>
            <w:r/>
          </w:p>
        </w:tc>
      </w:tr>
    </w:tbl>
    <w:p>
      <w:pPr>
        <w:ind w:firstLine="420"/>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注：合同价款已包含货物生产（含所有配件、备品备件、专用工具等）、包装、运输（运抵现场）、保险、检测检验、安装、管理费、产品保护、技术服务、税金、利润、相关部门验收、不可预见及其他相关所有费用，直至交付甲方使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二、设备配置清单见附件。</w:t>
      </w:r>
      <w:r/>
    </w:p>
    <w:p>
      <w:pPr>
        <w:rPr>
          <w:rFonts w:eastAsia="宋体" w:cs="宋体" w:asciiTheme="minorEastAsia" w:hAnsiTheme="minorEastAsia"/>
          <w:color w:val="000000"/>
          <w:sz w:val="24"/>
          <w:szCs w:val="24"/>
          <w:highlight w:val="none"/>
        </w:rPr>
      </w:pPr>
      <w:r>
        <w:rPr>
          <w:rFonts w:hint="eastAsia" w:ascii="宋体" w:hAnsi="宋体" w:eastAsia="宋体" w:cs="宋体"/>
          <w:sz w:val="24"/>
          <w:szCs w:val="24"/>
          <w:highlight w:val="none"/>
        </w:rPr>
        <w:t xml:space="preserve">    三、付款方式：</w:t>
      </w:r>
      <w:r>
        <w:rPr>
          <w:rFonts w:hint="eastAsia" w:cs="宋体" w:asciiTheme="minorEastAsia" w:hAnsiTheme="minorEastAsia"/>
          <w:color w:val="000000"/>
          <w:sz w:val="24"/>
          <w:szCs w:val="24"/>
          <w:highlight w:val="none"/>
        </w:rPr>
        <w:t xml:space="preserve">到货后中标人负责安装、调试，采购人负责书面验收。验收合格后，中标人提供免费保修证明，采购人全额支付货物款项。采购人付款前，中标人应向采购人出具符合采购人要求的发票。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四、交货期：乙方应在本合同生效之日起天之内将货物运抵甲方指定地点。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五、交货地点：</w:t>
      </w:r>
      <w:r>
        <w:rPr>
          <w:rFonts w:hint="eastAsia" w:ascii="宋体" w:hAnsi="宋体" w:eastAsia="宋体" w:cs="宋体"/>
          <w:sz w:val="24"/>
          <w:szCs w:val="24"/>
          <w:highlight w:val="none"/>
          <w:lang w:eastAsia="zh-CN"/>
        </w:rPr>
        <w:t xml:space="preserve">连云港市新海初级中学</w:t>
      </w:r>
      <w:r>
        <w:rPr>
          <w:rFonts w:hint="eastAsia" w:ascii="宋体" w:hAnsi="宋体" w:eastAsia="宋体" w:cs="宋体"/>
          <w:sz w:val="24"/>
          <w:szCs w:val="24"/>
          <w:highlight w:val="none"/>
        </w:rPr>
        <w:t xml:space="preserve">指定院区。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六、质保期：上述设备提供免费原厂全保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年，自甲方正式验收合格之日起计算。在质保期内，乙方需对所提供的货物定期检查和保养，并且保证每年上门检修、保养一次，并出具报告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不再向甲方收取费用。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七、资质、质量要求及技术标准</w:t>
      </w:r>
      <w:r/>
    </w:p>
    <w:p>
      <w:pPr>
        <w:ind w:firstLine="480"/>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rPr>
        <w:t xml:space="preserve">1．特别提醒条款：</w:t>
      </w:r>
      <w:r>
        <w:rPr>
          <w:rFonts w:hint="eastAsia" w:ascii="宋体" w:hAnsi="宋体" w:eastAsia="宋体" w:cs="宋体"/>
          <w:bCs/>
          <w:sz w:val="24"/>
          <w:szCs w:val="24"/>
          <w:highlight w:val="none"/>
        </w:rPr>
        <w:t xml:space="preserve">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r/>
    </w:p>
    <w:p>
      <w:pPr>
        <w:ind w:firstLine="480"/>
        <w:spacing w:line="360" w:lineRule="auto"/>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3．乙方保证所供设备为全新、未使用过的原装正品，生产日期在合同签订之日1年以内，并严格保持原包装，否则甲方有权拒收或要求更换，造成的一切损失由乙方负全部责任。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八、设备到货、安装和验收要求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3．设备安装、调试结束后，甲方对设备试用后进行验收（时间由甲、乙双方商定），乙方免费派工程师到达现场协助验收工作。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 乙方确保设备安装调试后须具备正常运行所需的所有条件，即为交钥匙项目。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5．保修期自甲方书面验收合格之日算起，保修期外只收配件费，免收人工费等一切费用。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若设备有专机专用耗材（指该耗材无法被其他品牌耗材代替）需在本协议中体现，并保证在设备安装验收合格并投入使用后不再有新增专机专用耗材需引进，否则甲方有权退回所采购的设备并要求乙方退还所有已支付采购货款。</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九、技术培训</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①现场技术培训：在安装过程中或安装结束后，乙方工程师或有关人员有义务免费对甲方工程师和操作人员进行现场维修、保养、操作培训，解答甲方人员提出的问题。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②正规培训班培训：/。</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十、售后服务要求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确保设备保修期内开机率为98%，如设备故障停机率超过2%（一年按365天计算，每年8天），每超过一天（一天并不意味24小时停机，只要当日发生停机事件，即视为停机一天），保修期延长两周，超过10天，乙方应向甲方每天支付合同金额1%的违约金。</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如设备发生故障，乙方在接到甲方报修电话后30分钟内予以响应并上门维修，否则甲方可自行采取必要的措施，由此产生的风险和费用由乙方承担。如遇特殊情况，乙方承诺无法现场解决问题，乙方需提供备机服务保障正常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4．乙方免费提供全套技术资料（维修说明书包括详细电路图、操作说明书及光盘等），如技术资料不全，甲方有权不支付货款。</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十一、专利权和货物相关的更改要求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保证所交付的货物的所有权完全属于乙方且无任何抵押、查封等产权瑕疵。如乙方所交货物有产权瑕疵的，视为乙方违约，按照本合同第十二条第3款的约定处理。但在已经全部支付完合同款后才发现有产权瑕疵的，除了支付违约金，乙方还应负担由此而产生的一切损失。</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4、在合同执行过程中，如果国家相应的技术规范作出调整，或货物的技术有了较大的更新，乙方应免费更换所供货物的相应部件。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十二、违约责任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1、甲方无正当理由拒收货物的，由甲方向乙方偿付合同总价的5%违约金。</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2、甲方未按合同规定的期限向乙方支付货款的，每逾期一天甲方向乙方偿付欠款总额的万分之一滞纳金，但累计滞纳金总额不超过欠款总额的5%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3、如乙方不能交付货物，乙方应向甲方支付合同总价5%违约金。</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4、乙方逾期交付货物的，每逾期1天，乙方向甲方偿付逾期交货部分货款总额的万分之三的滞纳金。如乙方逾期交货达10天，甲方有权解除合同，合同自通知到达乙方时解除。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5、乙方所交付的货物品种、型号、规格等不符合合同规定的，甲方有权拒收。甲方拒收的，乙方应向甲方支付合同货款总额5%的违约金。</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6、乙方所供设备如验收不合格，根据甲方的要求，乙方必须在甲方规定的时间内无条件换货或退货，由此引起的一切损失由乙方承担。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8、乙方未按本合同的规定和“服务承诺”提供伴随服务/售后服务的，应按合同总价款的10%向甲方承担违约责任,同时将依法向上级招投标机构要求给予乙方列入黑名单的处罚，并保留追究相关法律责任的权利。</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十三、合同的变更和终止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（一）合同变更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1、如因国家相关法律、法规及国家政策发生变化，需变更本合同的，则双方应对相关条款进行依法变更；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（二）合同终止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出现下列情况之一的，合同将终止：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1、合同履行完毕、权利义务关系消灭的；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2、国家法律、法规、条例进行调整，禁止本合同延续的；或合同一方被国家执法机关处罚、查封关闭的；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3、一方严重违约（如乙方逾期供货、质量低下导致甲方使用中存在安全风险，以及可能会造成甲方其他严重后果）的；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4、发生严重纠纷、事故，影响医疗秩序的或存在严重纠纷、医疗事故隐患的，以及其他严重影响医院声誉情况的；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5、其他国家法律、法规规定的或经双方共同认可的其他可终止合同情况。</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十四、争议的解决</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2、因履行本合同引起的或与本合同有关的争议，甲、乙双方应首先通过友好协商解决，如果协商不能解决争议，向甲方所在地人民法院提起诉讼。</w:t>
      </w:r>
      <w:r/>
    </w:p>
    <w:p>
      <w:pPr>
        <w:ind w:firstLine="480"/>
        <w:spacing w:line="360" w:lineRule="auto"/>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十五、其他约定</w:t>
      </w:r>
      <w:r>
        <w:rPr>
          <w:rFonts w:hint="eastAsia" w:ascii="宋体" w:hAnsi="宋体" w:eastAsia="宋体" w:cs="宋体"/>
          <w:sz w:val="24"/>
          <w:szCs w:val="24"/>
          <w:highlight w:val="none"/>
        </w:rPr>
        <w:t xml:space="preserve">：设备出保后全保费用为        ，甲方可自主选择是否由乙方维保，若选择乙方维保，则此维保价格在免费质保期后3年内不得变更。 配套耗材若被纳入省级阳光平台采购，需终止现有条款，按阳光平台要求另行商谈和采购，配套耗材为：</w:t>
      </w:r>
      <w:r/>
    </w:p>
    <w:tbl>
      <w:tblPr>
        <w:tblStyle w:val="888"/>
        <w:tblW w:w="9246" w:type="dxa"/>
        <w:jc w:val="center"/>
        <w:tblLayout w:type="fixed"/>
        <w:tblCellMar>
          <w:left w:w="15" w:type="dxa"/>
          <w:top w:w="15" w:type="dxa"/>
          <w:right w:w="15" w:type="dxa"/>
          <w:bottom w:w="15" w:type="dxa"/>
        </w:tblCellMar>
        <w:tblLook w:val="04A0" w:firstRow="1" w:lastRow="0" w:firstColumn="1" w:lastColumn="0" w:noHBand="0" w:noVBand="1"/>
      </w:tblPr>
      <w:tblGrid>
        <w:gridCol w:w="596"/>
        <w:gridCol w:w="1764"/>
        <w:gridCol w:w="1640"/>
        <w:gridCol w:w="1589"/>
        <w:gridCol w:w="1320"/>
        <w:gridCol w:w="925"/>
        <w:gridCol w:w="1412"/>
      </w:tblGrid>
      <w:tr>
        <w:trPr>
          <w:jc w:val="center"/>
          <w:trHeight w:val="339"/>
        </w:trPr>
        <w:tc>
          <w:tcPr>
            <w:tcBorders>
              <w:top w:val="single" w:color="000000" w:sz="4" w:space="0"/>
              <w:left w:val="single" w:color="000000" w:sz="4" w:space="0"/>
              <w:bottom w:val="single" w:color="auto" w:sz="4" w:space="0"/>
              <w:right w:val="single" w:color="000000" w:sz="4" w:space="0"/>
            </w:tcBorders>
            <w:tcW w:w="596" w:type="dxa"/>
            <w:vAlign w:val="center"/>
            <w:textDirection w:val="lrTb"/>
            <w:noWrap/>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4" w:space="0"/>
              <w:left w:val="single" w:color="000000" w:sz="4" w:space="0"/>
              <w:bottom w:val="single" w:color="auto" w:sz="4" w:space="0"/>
              <w:right w:val="single" w:color="000000" w:sz="4" w:space="0"/>
            </w:tcBorders>
            <w:tcW w:w="1764" w:type="dxa"/>
            <w:vAlign w:val="center"/>
            <w:textDirection w:val="lrTb"/>
            <w:noWrap/>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供货单价（元）</w:t>
            </w:r>
            <w:r/>
          </w:p>
        </w:tc>
      </w:tr>
      <w:tr>
        <w:trPr>
          <w:jc w:val="center"/>
          <w:trHeight w:val="395"/>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tcPr>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auto" w:sz="4" w:space="0"/>
              <w:bottom w:val="single" w:color="000000" w:sz="4" w:space="0"/>
              <w:right w:val="single" w:color="000000" w:sz="4" w:space="0"/>
            </w:tcBorders>
            <w:tcW w:w="1640" w:type="dxa"/>
            <w:vAlign w:val="center"/>
            <w:textDirection w:val="lrTb"/>
            <w:noWrap/>
          </w:tcPr>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bl>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十六、合同生效</w:t>
      </w:r>
      <w:r/>
    </w:p>
    <w:p>
      <w:pPr>
        <w:ind w:firstLine="480"/>
        <w:spacing w:line="360" w:lineRule="auto"/>
        <w:rPr>
          <w:rFonts w:ascii="宋体" w:hAnsi="宋体" w:eastAsia="宋体" w:cs="宋体"/>
          <w:color w:val="000000"/>
          <w:sz w:val="24"/>
          <w:szCs w:val="24"/>
          <w:highlight w:val="none"/>
        </w:rPr>
      </w:pPr>
      <w:r>
        <w:rPr>
          <w:rFonts w:hint="eastAsia" w:ascii="宋体" w:hAnsi="Times New Roman" w:eastAsia="宋体" w:cs="Times New Roman"/>
          <w:sz w:val="24"/>
          <w:szCs w:val="24"/>
          <w:highlight w:val="none"/>
        </w:rPr>
        <w:t xml:space="preserve">本合同和招、投标文件及承诺书，内容互补，</w:t>
      </w:r>
      <w:r>
        <w:rPr>
          <w:rFonts w:hint="eastAsia" w:ascii="宋体" w:hAnsi="宋体" w:eastAsia="宋体" w:cs="宋体"/>
          <w:color w:val="000000"/>
          <w:sz w:val="24"/>
          <w:szCs w:val="24"/>
          <w:highlight w:val="none"/>
        </w:rPr>
        <w:t xml:space="preserve">具有同等法律效力，应按照中华人民共和国的现行法律进行解释。合同一式肆份，甲方叁份、乙方壹份，自双方签字盖章后生效。</w:t>
      </w:r>
      <w:r/>
    </w:p>
    <w:p>
      <w:pPr>
        <w:spacing w:line="360" w:lineRule="auto"/>
        <w:rPr>
          <w:rFonts w:ascii="宋体" w:hAnsi="宋体" w:eastAsia="宋体" w:cs="宋体"/>
          <w:color w:val="000000"/>
          <w:sz w:val="18"/>
          <w:szCs w:val="18"/>
          <w:highlight w:val="none"/>
        </w:rPr>
      </w:pPr>
      <w:r>
        <w:rPr>
          <w:rFonts w:ascii="宋体" w:hAnsi="宋体" w:eastAsia="宋体" w:cs="宋体"/>
          <w:color w:val="000000"/>
          <w:sz w:val="18"/>
          <w:szCs w:val="18"/>
          <w:highlight w:val="none"/>
        </w:rPr>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甲方：</w:t>
      </w:r>
      <w:r>
        <w:rPr>
          <w:rFonts w:hint="eastAsia" w:ascii="宋体" w:hAnsi="宋体" w:eastAsia="宋体" w:cs="宋体"/>
          <w:b/>
          <w:sz w:val="24"/>
          <w:szCs w:val="24"/>
          <w:highlight w:val="none"/>
          <w:lang w:eastAsia="zh-CN"/>
        </w:rPr>
        <w:t xml:space="preserve">连云港市新海初级中学</w:t>
      </w:r>
      <w:r>
        <w:rPr>
          <w:rFonts w:hint="eastAsia" w:ascii="宋体" w:hAnsi="宋体" w:eastAsia="宋体" w:cs="宋体"/>
          <w:b/>
          <w:sz w:val="24"/>
          <w:szCs w:val="24"/>
          <w:highlight w:val="none"/>
        </w:rPr>
        <w:t xml:space="preserve">                乙方：</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地址：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地址：</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电话：</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电话：</w:t>
      </w:r>
      <w:r/>
    </w:p>
    <w:p>
      <w:pPr>
        <w:ind w:firstLine="420"/>
        <w:spacing w:line="360" w:lineRule="auto"/>
        <w:rPr>
          <w:rFonts w:ascii="宋体" w:hAnsi="宋体" w:eastAsia="宋体" w:cs="宋体"/>
          <w:b/>
          <w:sz w:val="24"/>
          <w:szCs w:val="24"/>
          <w:highlight w:val="none"/>
        </w:rPr>
      </w:pPr>
      <w:r>
        <w:rPr>
          <w:highlight w:val="none"/>
        </w:rPr>
        <w:fldChar w:fldCharType="begin"/>
      </w:r>
      <w:r>
        <w:rPr>
          <w:highlight w:val="none"/>
        </w:rPr>
        <w:instrText xml:space="preserve"> HYPERLINK "mailto:邮箱lygyyzbcgzx@163.com" </w:instrText>
      </w:r>
      <w:r>
        <w:rPr>
          <w:highlight w:val="none"/>
        </w:rPr>
        <w:fldChar w:fldCharType="separate"/>
      </w:r>
      <w:r>
        <w:rPr>
          <w:rFonts w:hint="eastAsia" w:ascii="宋体" w:hAnsi="宋体" w:eastAsia="宋体" w:cs="宋体"/>
          <w:b/>
          <w:sz w:val="24"/>
          <w:highlight w:val="none"/>
        </w:rPr>
        <w:t xml:space="preserve">邮箱</w:t>
      </w:r>
      <w:r>
        <w:rPr>
          <w:rFonts w:hint="eastAsia" w:ascii="宋体" w:hAnsi="宋体" w:eastAsia="宋体" w:cs="宋体"/>
          <w:b/>
          <w:sz w:val="24"/>
          <w:szCs w:val="24"/>
          <w:highlight w:val="none"/>
          <w:shd w:val="clear" w:color="ffffff" w:fill="auto"/>
        </w:rPr>
        <w:t xml:space="preserve">：</w:t>
      </w:r>
      <w:r>
        <w:rPr>
          <w:rFonts w:hint="eastAsia" w:ascii="宋体" w:hAnsi="宋体" w:eastAsia="宋体" w:cs="宋体"/>
          <w:b/>
          <w:sz w:val="24"/>
          <w:highlight w:val="none"/>
          <w:lang w:val="en-US" w:eastAsia="zh-CN"/>
        </w:rPr>
        <w:t xml:space="preserve"> </w:t>
      </w:r>
      <w:r>
        <w:rPr>
          <w:rFonts w:hint="eastAsia" w:ascii="宋体" w:hAnsi="宋体" w:eastAsia="宋体" w:cs="宋体"/>
          <w:b/>
          <w:sz w:val="24"/>
          <w:highlight w:val="none"/>
        </w:rPr>
        <w:fldChar w:fldCharType="end"/>
      </w:r>
      <w:r>
        <w:rPr>
          <w:rFonts w:hint="eastAsia" w:ascii="宋体" w:hAnsi="宋体" w:eastAsia="宋体" w:cs="宋体"/>
          <w:b/>
          <w:sz w:val="24"/>
          <w:highlight w:val="none"/>
          <w:lang w:val="en-US" w:eastAsia="zh-CN"/>
        </w:rPr>
        <w:t xml:space="preserve">                  </w:t>
      </w:r>
      <w:r>
        <w:rPr>
          <w:rFonts w:hint="eastAsia" w:ascii="宋体" w:hAnsi="宋体" w:eastAsia="宋体" w:cs="宋体"/>
          <w:b/>
          <w:sz w:val="24"/>
          <w:szCs w:val="24"/>
          <w:highlight w:val="none"/>
        </w:rPr>
        <w:t xml:space="preserve">                 邮箱：</w:t>
      </w:r>
      <w:r/>
    </w:p>
    <w:p>
      <w:pPr>
        <w:ind w:firstLine="482"/>
        <w:spacing w:line="60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授权代表：                                授权代表：</w:t>
      </w:r>
      <w:r/>
    </w:p>
    <w:p>
      <w:pPr>
        <w:ind w:firstLine="482"/>
        <w:spacing w:line="360" w:lineRule="auto"/>
        <w:rPr>
          <w:rFonts w:cs="宋体" w:asciiTheme="minorEastAsia" w:hAnsiTheme="minorEastAsia"/>
          <w:b/>
          <w:color w:val="000000"/>
          <w:sz w:val="24"/>
          <w:szCs w:val="24"/>
          <w:highlight w:val="none"/>
        </w:rPr>
      </w:pPr>
      <w:r>
        <w:rPr>
          <w:rFonts w:hint="eastAsia" w:ascii="宋体" w:hAnsi="宋体" w:eastAsia="宋体" w:cs="宋体"/>
          <w:b/>
          <w:sz w:val="24"/>
          <w:szCs w:val="24"/>
          <w:highlight w:val="none"/>
        </w:rPr>
        <w:t xml:space="preserve">日    期：    年      月      日          日    期：    年      月      日</w:t>
      </w:r>
      <w:r/>
    </w:p>
    <w:p>
      <w:pPr>
        <w:jc w:val="left"/>
        <w:spacing w:line="360" w:lineRule="auto"/>
        <w:rPr>
          <w:rFonts w:cs="宋体" w:asciiTheme="minorEastAsia" w:hAnsiTheme="minorEastAsia"/>
          <w:b/>
          <w:sz w:val="24"/>
          <w:szCs w:val="24"/>
          <w:highlight w:val="none"/>
        </w:rPr>
      </w:pPr>
      <w:r>
        <w:rPr>
          <w:rFonts w:cs="宋体" w:asciiTheme="minorEastAsia" w:hAnsiTheme="minorEastAsia"/>
          <w:b/>
          <w:sz w:val="24"/>
          <w:szCs w:val="24"/>
          <w:highlight w:val="none"/>
        </w:rPr>
      </w:r>
      <w:r/>
    </w:p>
    <w:p>
      <w:pPr>
        <w:pStyle w:val="878"/>
        <w:numPr>
          <w:ilvl w:val="0"/>
          <w:numId w:val="0"/>
        </w:numPr>
        <w:rPr>
          <w:rFonts w:ascii="宋体" w:hAnsi="宋体" w:eastAsia="宋体"/>
          <w:sz w:val="24"/>
          <w:szCs w:val="24"/>
          <w:highlight w:val="none"/>
        </w:rPr>
      </w:pPr>
      <w:r>
        <w:rPr>
          <w:rFonts w:hAnsi="宋体"/>
          <w:szCs w:val="24"/>
          <w:highlight w:val="none"/>
        </w:rPr>
        <w:br w:type="page" w:clear="all"/>
      </w:r>
      <w:bookmarkStart w:id="11" w:name="_Toc139966428"/>
      <w:r/>
      <w:bookmarkStart w:id="12" w:name="_Toc150765437"/>
      <w:r/>
      <w:bookmarkStart w:id="13" w:name="_Toc513622229"/>
      <w:r/>
      <w:bookmarkStart w:id="14" w:name="_Toc139967212"/>
      <w:r>
        <w:rPr>
          <w:rFonts w:hint="eastAsia" w:hAnsi="宋体"/>
          <w:highlight w:val="none"/>
        </w:rPr>
        <w:t xml:space="preserve">第四章投标文件格式</w:t>
      </w:r>
      <w:bookmarkEnd w:id="11"/>
      <w:r/>
      <w:bookmarkEnd w:id="12"/>
      <w:r/>
      <w:bookmarkEnd w:id="13"/>
      <w:r/>
      <w:bookmarkEnd w:id="14"/>
      <w:r/>
      <w:r/>
    </w:p>
    <w:p>
      <w:pPr>
        <w:ind w:firstLine="1044"/>
        <w:jc w:val="center"/>
        <w:spacing w:line="360" w:lineRule="auto"/>
        <w:rPr>
          <w:rFonts w:ascii="宋体" w:hAnsi="宋体" w:eastAsia="宋体" w:cs="Times New Roman"/>
          <w:b/>
          <w:sz w:val="52"/>
          <w:szCs w:val="52"/>
          <w:highlight w:val="none"/>
        </w:rPr>
      </w:pPr>
      <w:r>
        <w:rPr>
          <w:rFonts w:ascii="宋体" w:hAnsi="宋体" w:eastAsia="宋体" w:cs="Times New Roman"/>
          <w:b/>
          <w:sz w:val="52"/>
          <w:szCs w:val="52"/>
          <w:highlight w:val="none"/>
        </w:rPr>
      </w:r>
      <w:r/>
    </w:p>
    <w:p>
      <w:pPr>
        <w:jc w:val="center"/>
        <w:spacing w:line="360" w:lineRule="auto"/>
        <w:rPr>
          <w:rFonts w:ascii="宋体" w:hAnsi="宋体" w:eastAsia="宋体" w:cs="Times New Roman"/>
          <w:b/>
          <w:sz w:val="52"/>
          <w:szCs w:val="52"/>
          <w:highlight w:val="none"/>
        </w:rPr>
      </w:pPr>
      <w:r>
        <w:rPr>
          <w:rFonts w:hint="eastAsia" w:ascii="宋体" w:hAnsi="宋体" w:eastAsia="宋体" w:cs="Times New Roman"/>
          <w:b/>
          <w:sz w:val="52"/>
          <w:szCs w:val="52"/>
          <w:highlight w:val="none"/>
        </w:rPr>
        <w:t xml:space="preserve">连 云 港 市 政 府 采 购</w:t>
      </w:r>
      <w:r/>
    </w:p>
    <w:p>
      <w:pPr>
        <w:jc w:val="center"/>
        <w:spacing w:line="360" w:lineRule="auto"/>
        <w:rPr>
          <w:rFonts w:ascii="宋体" w:hAnsi="宋体" w:eastAsia="宋体" w:cs="Times New Roman"/>
          <w:b/>
          <w:sz w:val="72"/>
          <w:szCs w:val="21"/>
          <w:highlight w:val="none"/>
        </w:rPr>
      </w:pPr>
      <w:r>
        <w:rPr>
          <w:rFonts w:hint="eastAsia" w:ascii="宋体" w:hAnsi="宋体" w:eastAsia="宋体" w:cs="Times New Roman"/>
          <w:b/>
          <w:sz w:val="72"/>
          <w:szCs w:val="21"/>
          <w:highlight w:val="none"/>
        </w:rPr>
        <w:t xml:space="preserve">投标文件</w:t>
      </w:r>
      <w:r/>
    </w:p>
    <w:p>
      <w:pPr>
        <w:ind w:firstLine="643"/>
        <w:jc w:val="center"/>
        <w:spacing w:line="360" w:lineRule="auto"/>
        <w:rPr>
          <w:rFonts w:ascii="宋体" w:hAnsi="宋体" w:eastAsia="宋体" w:cs="Times New Roman"/>
          <w:b/>
          <w:sz w:val="32"/>
          <w:szCs w:val="32"/>
          <w:highlight w:val="none"/>
        </w:rPr>
      </w:pPr>
      <w:r>
        <w:rPr>
          <w:rFonts w:ascii="宋体" w:hAnsi="宋体" w:eastAsia="宋体" w:cs="Times New Roman"/>
          <w:b/>
          <w:sz w:val="32"/>
          <w:szCs w:val="32"/>
          <w:highlight w:val="none"/>
        </w:rPr>
      </w:r>
      <w:r/>
    </w:p>
    <w:p>
      <w:pPr>
        <w:ind w:firstLine="1084"/>
        <w:spacing w:line="360" w:lineRule="auto"/>
        <w:rPr>
          <w:rFonts w:ascii="宋体" w:hAnsi="宋体" w:eastAsia="宋体" w:cs="Times New Roman"/>
          <w:b/>
          <w:sz w:val="36"/>
          <w:szCs w:val="21"/>
          <w:highlight w:val="none"/>
        </w:rPr>
      </w:pPr>
      <w:r>
        <w:rPr>
          <w:rFonts w:ascii="宋体" w:hAnsi="宋体" w:eastAsia="宋体" w:cs="Times New Roman"/>
          <w:b/>
          <w:sz w:val="36"/>
          <w:szCs w:val="21"/>
          <w:highlight w:val="none"/>
        </w:rPr>
      </w:r>
      <w:r/>
    </w:p>
    <w:p>
      <w:pPr>
        <w:jc w:val="left"/>
        <w:rPr>
          <w:rFonts w:ascii="MS Mincho" w:hAnsi="Calibri" w:eastAsia="宋体" w:cs="Times New Roman"/>
          <w:szCs w:val="24"/>
          <w:highlight w:val="none"/>
        </w:rPr>
      </w:pPr>
      <w:r>
        <w:rPr>
          <w:rFonts w:ascii="MS Mincho" w:hAnsi="Calibri" w:eastAsia="宋体" w:cs="Times New Roman"/>
          <w:szCs w:val="24"/>
          <w:highlight w:val="none"/>
        </w:rPr>
      </w:r>
      <w:r/>
    </w:p>
    <w:p>
      <w:pPr>
        <w:jc w:val="left"/>
        <w:rPr>
          <w:rFonts w:ascii="MS Mincho" w:hAnsi="Calibri" w:eastAsia="宋体" w:cs="Times New Roman"/>
          <w:szCs w:val="24"/>
          <w:highlight w:val="none"/>
        </w:rPr>
      </w:pPr>
      <w:r>
        <w:rPr>
          <w:rFonts w:ascii="MS Mincho" w:hAnsi="Calibri" w:eastAsia="宋体" w:cs="Times New Roman"/>
          <w:szCs w:val="24"/>
          <w:highlight w:val="none"/>
        </w:rPr>
      </w:r>
      <w:r/>
    </w:p>
    <w:p>
      <w:pPr>
        <w:jc w:val="left"/>
        <w:rPr>
          <w:rFonts w:ascii="MS Mincho" w:hAnsi="Calibri" w:eastAsia="宋体" w:cs="Times New Roman"/>
          <w:szCs w:val="24"/>
          <w:highlight w:val="none"/>
        </w:rPr>
      </w:pPr>
      <w:r>
        <w:rPr>
          <w:rFonts w:ascii="MS Mincho" w:hAnsi="Calibri" w:eastAsia="宋体" w:cs="Times New Roman"/>
          <w:szCs w:val="24"/>
          <w:highlight w:val="none"/>
        </w:rPr>
      </w:r>
      <w:r/>
    </w:p>
    <w:p>
      <w:pPr>
        <w:jc w:val="left"/>
        <w:rPr>
          <w:rFonts w:ascii="MS Mincho" w:hAnsi="Calibri" w:eastAsia="宋体" w:cs="Times New Roman"/>
          <w:szCs w:val="24"/>
          <w:highlight w:val="none"/>
        </w:rPr>
      </w:pPr>
      <w:r>
        <w:rPr>
          <w:rFonts w:ascii="MS Mincho" w:hAnsi="Calibri" w:eastAsia="宋体" w:cs="Times New Roman"/>
          <w:szCs w:val="24"/>
          <w:highlight w:val="none"/>
        </w:rPr>
      </w:r>
      <w:r/>
    </w:p>
    <w:p>
      <w:pPr>
        <w:ind w:firstLine="1084"/>
        <w:spacing w:line="360" w:lineRule="auto"/>
        <w:rPr>
          <w:rFonts w:ascii="宋体" w:hAnsi="宋体" w:eastAsia="宋体" w:cs="Times New Roman"/>
          <w:b/>
          <w:sz w:val="36"/>
          <w:szCs w:val="21"/>
          <w:highlight w:val="none"/>
        </w:rPr>
      </w:pPr>
      <w:r>
        <w:rPr>
          <w:rFonts w:ascii="宋体" w:hAnsi="宋体" w:eastAsia="宋体" w:cs="Times New Roman"/>
          <w:b/>
          <w:sz w:val="36"/>
          <w:szCs w:val="21"/>
          <w:highlight w:val="none"/>
        </w:rPr>
      </w:r>
      <w:r/>
    </w:p>
    <w:p>
      <w:pPr>
        <w:ind w:firstLine="1084"/>
        <w:spacing w:line="360" w:lineRule="auto"/>
        <w:rPr>
          <w:rFonts w:ascii="宋体" w:hAnsi="宋体" w:eastAsia="宋体" w:cs="Times New Roman"/>
          <w:b/>
          <w:sz w:val="36"/>
          <w:szCs w:val="24"/>
          <w:highlight w:val="none"/>
        </w:rPr>
      </w:pPr>
      <w:r>
        <w:rPr>
          <w:rFonts w:hint="eastAsia" w:ascii="宋体" w:hAnsi="宋体" w:eastAsia="宋体" w:cs="Times New Roman"/>
          <w:b/>
          <w:sz w:val="36"/>
          <w:szCs w:val="24"/>
          <w:highlight w:val="none"/>
        </w:rPr>
        <w:t xml:space="preserve">标 段 名 称：</w:t>
      </w:r>
      <w:r/>
    </w:p>
    <w:p>
      <w:pPr>
        <w:spacing w:line="360" w:lineRule="auto"/>
        <w:rPr>
          <w:rFonts w:ascii="宋体" w:hAnsi="宋体" w:eastAsia="宋体" w:cs="Times New Roman"/>
          <w:b/>
          <w:sz w:val="36"/>
          <w:szCs w:val="24"/>
          <w:highlight w:val="none"/>
        </w:rPr>
      </w:pPr>
      <w:r>
        <w:rPr>
          <w:rFonts w:ascii="宋体" w:hAnsi="宋体" w:eastAsia="宋体" w:cs="Times New Roman"/>
          <w:b/>
          <w:sz w:val="36"/>
          <w:szCs w:val="24"/>
          <w:highlight w:val="none"/>
        </w:rPr>
      </w:r>
      <w:r/>
    </w:p>
    <w:p>
      <w:pPr>
        <w:ind w:firstLine="1084"/>
        <w:spacing w:line="360" w:lineRule="auto"/>
        <w:rPr>
          <w:rFonts w:hint="eastAsia" w:ascii="宋体" w:hAnsi="宋体" w:eastAsia="宋体" w:cs="Times New Roman"/>
          <w:b/>
          <w:sz w:val="36"/>
          <w:szCs w:val="24"/>
          <w:highlight w:val="none"/>
          <w:lang w:eastAsia="zh-CN"/>
        </w:rPr>
      </w:pPr>
      <w:r>
        <w:rPr>
          <w:rFonts w:hint="eastAsia" w:ascii="宋体" w:hAnsi="宋体" w:eastAsia="宋体" w:cs="Times New Roman"/>
          <w:b/>
          <w:sz w:val="36"/>
          <w:szCs w:val="24"/>
          <w:highlight w:val="none"/>
        </w:rPr>
        <w:t xml:space="preserve">标 段 编 号</w:t>
      </w:r>
      <w:r>
        <w:rPr>
          <w:rFonts w:hint="eastAsia" w:ascii="宋体" w:hAnsi="宋体" w:eastAsia="宋体" w:cs="Times New Roman"/>
          <w:b/>
          <w:sz w:val="36"/>
          <w:szCs w:val="24"/>
          <w:highlight w:val="none"/>
          <w:lang w:eastAsia="zh-CN"/>
        </w:rPr>
        <w:t xml:space="preserve">：</w:t>
      </w:r>
      <w:r/>
    </w:p>
    <w:p>
      <w:pPr>
        <w:ind w:firstLine="1084"/>
        <w:spacing w:line="360" w:lineRule="auto"/>
        <w:rPr>
          <w:rFonts w:ascii="宋体" w:hAnsi="宋体" w:eastAsia="宋体" w:cs="Times New Roman"/>
          <w:b/>
          <w:sz w:val="36"/>
          <w:szCs w:val="24"/>
          <w:highlight w:val="none"/>
        </w:rPr>
      </w:pPr>
      <w:r>
        <w:rPr>
          <w:rFonts w:ascii="宋体" w:hAnsi="宋体" w:eastAsia="宋体" w:cs="Times New Roman"/>
          <w:b/>
          <w:sz w:val="36"/>
          <w:szCs w:val="24"/>
          <w:highlight w:val="none"/>
        </w:rPr>
      </w:r>
      <w:r/>
    </w:p>
    <w:p>
      <w:pPr>
        <w:ind w:firstLine="1084"/>
        <w:spacing w:line="360" w:lineRule="auto"/>
        <w:rPr>
          <w:rFonts w:ascii="宋体" w:hAnsi="宋体" w:eastAsia="宋体" w:cs="Times New Roman"/>
          <w:b/>
          <w:sz w:val="36"/>
          <w:szCs w:val="24"/>
          <w:highlight w:val="none"/>
        </w:rPr>
      </w:pPr>
      <w:r>
        <w:rPr>
          <w:rFonts w:hint="eastAsia" w:ascii="宋体" w:hAnsi="宋体" w:eastAsia="宋体" w:cs="Times New Roman"/>
          <w:b/>
          <w:sz w:val="36"/>
          <w:szCs w:val="24"/>
          <w:highlight w:val="none"/>
        </w:rPr>
        <w:t xml:space="preserve">投标人名称：</w:t>
      </w:r>
      <w:r/>
    </w:p>
    <w:p>
      <w:pPr>
        <w:ind w:firstLine="1084"/>
        <w:spacing w:line="360" w:lineRule="auto"/>
        <w:rPr>
          <w:rFonts w:ascii="宋体" w:hAnsi="宋体" w:eastAsia="宋体" w:cs="Times New Roman"/>
          <w:b/>
          <w:sz w:val="36"/>
          <w:szCs w:val="24"/>
          <w:highlight w:val="none"/>
        </w:rPr>
      </w:pPr>
      <w:r>
        <w:rPr>
          <w:rFonts w:hint="eastAsia" w:ascii="宋体" w:hAnsi="宋体" w:eastAsia="宋体" w:cs="Times New Roman"/>
          <w:b/>
          <w:sz w:val="36"/>
          <w:szCs w:val="24"/>
          <w:highlight w:val="none"/>
        </w:rPr>
        <w:t xml:space="preserve">投标人地址： </w:t>
      </w:r>
      <w:r/>
    </w:p>
    <w:p>
      <w:pPr>
        <w:ind w:firstLine="1084"/>
        <w:spacing w:line="360" w:lineRule="auto"/>
        <w:rPr>
          <w:rFonts w:ascii="宋体" w:hAnsi="宋体" w:eastAsia="宋体" w:cs="Times New Roman"/>
          <w:b/>
          <w:sz w:val="36"/>
          <w:szCs w:val="24"/>
          <w:highlight w:val="none"/>
        </w:rPr>
      </w:pPr>
      <w:r>
        <w:rPr>
          <w:rFonts w:hint="eastAsia" w:ascii="宋体" w:hAnsi="宋体" w:eastAsia="宋体" w:cs="Times New Roman"/>
          <w:b/>
          <w:sz w:val="36"/>
          <w:szCs w:val="24"/>
          <w:highlight w:val="none"/>
        </w:rPr>
        <w:t xml:space="preserve">法定代表人：</w:t>
      </w:r>
      <w:r/>
    </w:p>
    <w:p>
      <w:pPr>
        <w:ind w:firstLine="1084"/>
        <w:spacing w:line="360" w:lineRule="auto"/>
        <w:rPr>
          <w:rFonts w:ascii="宋体" w:hAnsi="宋体" w:eastAsia="宋体" w:cs="Times New Roman"/>
          <w:b/>
          <w:sz w:val="36"/>
          <w:szCs w:val="24"/>
          <w:highlight w:val="none"/>
        </w:rPr>
      </w:pPr>
      <w:r>
        <w:rPr>
          <w:rFonts w:hint="eastAsia" w:ascii="宋体" w:hAnsi="宋体" w:eastAsia="宋体" w:cs="Times New Roman"/>
          <w:b/>
          <w:sz w:val="36"/>
          <w:szCs w:val="24"/>
          <w:highlight w:val="none"/>
        </w:rPr>
        <w:t xml:space="preserve">委托代理人（委托代理时填写）：</w:t>
      </w:r>
      <w:r/>
    </w:p>
    <w:p>
      <w:pPr>
        <w:ind w:firstLine="1084"/>
        <w:spacing w:line="360" w:lineRule="auto"/>
        <w:rPr>
          <w:rFonts w:ascii="宋体" w:hAnsi="宋体" w:eastAsia="宋体" w:cs="Times New Roman"/>
          <w:b/>
          <w:sz w:val="36"/>
          <w:szCs w:val="24"/>
          <w:highlight w:val="none"/>
        </w:rPr>
      </w:pPr>
      <w:r>
        <w:rPr>
          <w:rFonts w:hint="eastAsia" w:ascii="宋体" w:hAnsi="宋体" w:eastAsia="宋体" w:cs="Times New Roman"/>
          <w:b/>
          <w:sz w:val="36"/>
          <w:szCs w:val="24"/>
          <w:highlight w:val="none"/>
        </w:rPr>
        <w:t xml:space="preserve">日      期：</w:t>
      </w:r>
      <w:r/>
    </w:p>
    <w:p>
      <w:pPr>
        <w:keepNext/>
        <w:spacing w:line="360" w:lineRule="auto"/>
        <w:rPr>
          <w:rFonts w:ascii="宋体" w:hAnsi="宋体" w:eastAsia="宋体" w:cs="Times New Roman"/>
          <w:sz w:val="24"/>
          <w:szCs w:val="24"/>
          <w:highlight w:val="none"/>
        </w:rPr>
        <w:outlineLvl w:val="1"/>
      </w:pPr>
      <w:r>
        <w:rPr>
          <w:rFonts w:ascii="Times New Roman" w:hAnsi="宋体" w:eastAsia="黑体" w:cs="Times New Roman"/>
          <w:b/>
          <w:sz w:val="36"/>
          <w:szCs w:val="20"/>
          <w:highlight w:val="none"/>
        </w:rPr>
        <w:br w:type="page" w:clear="all"/>
      </w:r>
      <w:bookmarkStart w:id="15" w:name="_Toc139966431"/>
      <w:r/>
      <w:bookmarkStart w:id="16" w:name="_Toc139967215"/>
      <w:r>
        <w:rPr>
          <w:rFonts w:hint="eastAsia" w:ascii="宋体" w:hAnsi="宋体" w:eastAsia="宋体" w:cs="Times New Roman"/>
          <w:sz w:val="24"/>
          <w:szCs w:val="24"/>
          <w:highlight w:val="none"/>
        </w:rPr>
        <w:t xml:space="preserve">格式1、响应函</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响应函</w:t>
      </w:r>
      <w:r/>
    </w:p>
    <w:p>
      <w:pPr>
        <w:spacing w:line="480" w:lineRule="exact"/>
        <w:rPr>
          <w:rFonts w:hint="eastAsia" w:ascii="宋体" w:hAnsi="宋体" w:eastAsia="宋体" w:cs="Times New Roman"/>
          <w:szCs w:val="24"/>
          <w:highlight w:val="none"/>
          <w:lang w:eastAsia="zh-CN"/>
        </w:rPr>
      </w:pPr>
      <w:r>
        <w:rPr>
          <w:rFonts w:hint="eastAsia" w:ascii="宋体" w:hAnsi="宋体" w:eastAsia="宋体" w:cs="Times New Roman"/>
          <w:szCs w:val="24"/>
          <w:highlight w:val="none"/>
        </w:rPr>
        <w:t xml:space="preserve">致：</w:t>
      </w:r>
      <w:r>
        <w:rPr>
          <w:rFonts w:hint="eastAsia" w:ascii="宋体" w:hAnsi="宋体" w:eastAsia="宋体" w:cs="Times New Roman"/>
          <w:szCs w:val="24"/>
          <w:highlight w:val="none"/>
          <w:lang w:eastAsia="zh-CN"/>
        </w:rPr>
        <w:t xml:space="preserve">连云港市新海初级中学</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根据贵方标段（标段编号：）招标文件，正式授权下述签字人全权代表参加贵方组织的采购活动，按照招标文件要求提交响应文件。</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据此函，签字人兹宣布同意如下：</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1.按招标文件项目需求提交响应报价，报价、交货期等详见开标一览表。</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2.我方同意在本标段招标文件中规定的响应文件递交截止之日起60天内遵守本响应文件中的承诺且在此期限期满之前均具有约束力。</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(1)具有独立承担民事责任的能力；</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(2)具有良好的商业信誉和健全的财务会计制度；</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(3)具有履行合同所必需的设备和专业技术能力；</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(4)有依法缴纳税收和社会保障资金的良好记录；</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(5)参加此项采购活动前三年内，在经营活动中没有重大违法记录。</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4.我方根据招标文件的规定，承担完成合同的责任和义务。</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5.我方已详细审核招标文件，我方知道必须放弃提出含糊不清或误解问题的权利。</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6.如果在响应文件有效期内撤回或者有其他违约行为，我方的保证金可被贵方全部或部分没收。</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7.同意应贵方要求提供与本次采购活动有关的任何数据或资料。</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8.我方完全理解，最低报价不是中标（成交）的唯一条件。</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9.若贵方需要，我方愿意提供我方作出的一切承诺的证明材料。</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(1)提供虚假材料谋取中标、成交的；</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(2)采取不正当手段诋毁、排挤其他供应商的；</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(3)与采购人、其他供应商或者采购代理机构恶意串通的；</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(4)向采购人、采购代理机构行贿或者提供其他不正当利益的；</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(5)在招标采购过程中与采购人进行协商谈判的；</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(6)拒绝有关部门监督检查或提供虚假情况的。</w:t>
      </w:r>
      <w:r/>
    </w:p>
    <w:p>
      <w:pPr>
        <w:ind w:firstLine="420"/>
        <w:spacing w:line="480" w:lineRule="exact"/>
        <w:rPr>
          <w:rFonts w:ascii="宋体" w:hAnsi="宋体" w:eastAsia="宋体" w:cs="Times New Roman"/>
          <w:szCs w:val="24"/>
          <w:highlight w:val="none"/>
        </w:rPr>
      </w:pPr>
      <w:r>
        <w:rPr>
          <w:rFonts w:ascii="宋体" w:hAnsi="宋体" w:eastAsia="宋体" w:cs="Times New Roman"/>
          <w:szCs w:val="24"/>
          <w:highlight w:val="none"/>
        </w:rPr>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法定代表人或其委托代理人签字（或盖章）： 　　</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供应商公章： </w:t>
      </w:r>
      <w:r/>
    </w:p>
    <w:p>
      <w:pPr>
        <w:ind w:firstLine="420"/>
        <w:spacing w:line="480" w:lineRule="exact"/>
        <w:rPr>
          <w:rFonts w:ascii="宋体" w:hAnsi="宋体" w:eastAsia="宋体" w:cs="Times New Roman"/>
          <w:szCs w:val="24"/>
          <w:highlight w:val="none"/>
        </w:rPr>
      </w:pPr>
      <w:r>
        <w:rPr>
          <w:rFonts w:hint="eastAsia" w:ascii="宋体" w:hAnsi="宋体" w:eastAsia="宋体" w:cs="Times New Roman"/>
          <w:szCs w:val="24"/>
          <w:highlight w:val="none"/>
        </w:rPr>
        <w:t xml:space="preserve">日期： </w:t>
      </w:r>
      <w:r/>
    </w:p>
    <w:p>
      <w:pPr>
        <w:ind w:firstLine="420"/>
        <w:spacing w:line="480" w:lineRule="exact"/>
        <w:rPr>
          <w:rFonts w:ascii="宋体" w:hAnsi="宋体" w:eastAsia="宋体" w:cs="Times New Roman"/>
          <w:szCs w:val="24"/>
          <w:highlight w:val="none"/>
        </w:rPr>
      </w:pPr>
      <w:r>
        <w:rPr>
          <w:rFonts w:ascii="宋体" w:hAnsi="宋体" w:eastAsia="宋体" w:cs="Times New Roman"/>
          <w:szCs w:val="24"/>
          <w:highlight w:val="none"/>
        </w:rPr>
      </w:r>
      <w:r/>
    </w:p>
    <w:p>
      <w:pPr>
        <w:ind w:firstLine="420"/>
        <w:spacing w:line="480" w:lineRule="exact"/>
        <w:rPr>
          <w:rFonts w:ascii="宋体" w:hAnsi="宋体" w:eastAsia="宋体" w:cs="宋体"/>
          <w:sz w:val="36"/>
          <w:szCs w:val="36"/>
          <w:highlight w:val="none"/>
          <w:lang w:val="zh-CN"/>
        </w:rPr>
      </w:pPr>
      <w:r>
        <w:rPr>
          <w:rFonts w:hint="eastAsia" w:ascii="宋体" w:hAnsi="宋体" w:eastAsia="宋体" w:cs="Times New Roman"/>
          <w:szCs w:val="24"/>
          <w:highlight w:val="none"/>
        </w:rPr>
        <w:t xml:space="preserve">注：未按照本响应函的格式要求填写的，将造成非实质响应，从而导致该供应商响应无效。</w:t>
      </w:r>
      <w:r/>
    </w:p>
    <w:p>
      <w:pPr>
        <w:keepNext/>
        <w:spacing w:line="360" w:lineRule="auto"/>
        <w:rPr>
          <w:rFonts w:ascii="Times New Roman" w:hAnsi="Times New Roman" w:eastAsia="黑体" w:cs="Times New Roman"/>
          <w:b/>
          <w:sz w:val="28"/>
          <w:szCs w:val="20"/>
          <w:highlight w:val="none"/>
        </w:rPr>
        <w:outlineLvl w:val="1"/>
      </w:pPr>
      <w:r>
        <w:rPr>
          <w:rFonts w:ascii="Times New Roman" w:hAnsi="Times New Roman" w:eastAsia="黑体" w:cs="Times New Roman"/>
          <w:sz w:val="28"/>
          <w:szCs w:val="20"/>
          <w:highlight w:val="none"/>
        </w:rPr>
        <w:br w:type="page" w:clear="all"/>
      </w:r>
      <w:r>
        <w:rPr>
          <w:rFonts w:hint="eastAsia" w:ascii="宋体" w:hAnsi="宋体" w:eastAsia="宋体" w:cs="Times New Roman"/>
          <w:sz w:val="24"/>
          <w:szCs w:val="24"/>
          <w:highlight w:val="none"/>
        </w:rPr>
        <w:t xml:space="preserve">格式2、开标一览表</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开标一览表</w:t>
      </w:r>
      <w:r/>
    </w:p>
    <w:p>
      <w:pPr>
        <w:ind w:firstLine="720"/>
        <w:jc w:val="left"/>
        <w:spacing w:line="360" w:lineRule="auto"/>
        <w:rPr>
          <w:rFonts w:hint="default" w:ascii="宋体" w:hAnsi="宋体" w:eastAsia="宋体" w:cs="方正仿宋_GBK"/>
          <w:sz w:val="24"/>
          <w:szCs w:val="24"/>
          <w:highlight w:val="none"/>
          <w:lang w:val="en-US" w:eastAsia="zh-CN"/>
        </w:rPr>
      </w:pPr>
      <w:r>
        <w:rPr>
          <w:rFonts w:hint="eastAsia" w:ascii="宋体" w:hAnsi="宋体" w:eastAsia="宋体" w:cs="方正仿宋_GBK"/>
          <w:sz w:val="24"/>
          <w:szCs w:val="24"/>
          <w:highlight w:val="none"/>
        </w:rPr>
        <w:t xml:space="preserve">标段编号：</w:t>
      </w:r>
      <w:r>
        <w:rPr>
          <w:rFonts w:hint="eastAsia" w:ascii="宋体" w:hAnsi="宋体" w:eastAsia="宋体" w:cs="方正仿宋_GBK"/>
          <w:sz w:val="24"/>
          <w:szCs w:val="24"/>
          <w:highlight w:val="none"/>
          <w:lang w:val="en-US" w:eastAsia="zh-CN"/>
        </w:rPr>
        <w:t xml:space="preserve">****</w:t>
      </w:r>
      <w:r/>
    </w:p>
    <w:p>
      <w:pPr>
        <w:ind w:firstLine="720"/>
        <w:jc w:val="left"/>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方正仿宋_GBK"/>
          <w:sz w:val="24"/>
          <w:szCs w:val="24"/>
          <w:highlight w:val="none"/>
        </w:rPr>
        <w:t xml:space="preserve">标段名称：</w:t>
      </w:r>
      <w:r>
        <w:rPr>
          <w:rFonts w:hint="eastAsia" w:ascii="宋体" w:hAnsi="宋体" w:eastAsia="宋体" w:cs="方正仿宋_GBK"/>
          <w:sz w:val="24"/>
          <w:szCs w:val="24"/>
          <w:highlight w:val="none"/>
          <w:lang w:val="en-US" w:eastAsia="zh-CN"/>
        </w:rPr>
        <w:t xml:space="preserve">新海初级中学智慧教室</w:t>
      </w:r>
      <w:r/>
    </w:p>
    <w:p>
      <w:pPr>
        <w:ind w:firstLine="720"/>
        <w:jc w:val="left"/>
        <w:rPr>
          <w:rFonts w:ascii="MS Mincho" w:hAnsi="Calibri" w:eastAsia="宋体" w:cs="Times New Roman"/>
          <w:sz w:val="24"/>
          <w:szCs w:val="24"/>
          <w:highlight w:val="none"/>
        </w:rPr>
      </w:pPr>
      <w:r>
        <w:rPr>
          <w:rFonts w:hint="eastAsia" w:ascii="MS Mincho" w:hAnsi="Calibri" w:eastAsia="宋体" w:cs="Times New Roman"/>
          <w:sz w:val="24"/>
          <w:szCs w:val="24"/>
          <w:highlight w:val="none"/>
        </w:rPr>
        <w:t xml:space="preserve">报价单位：元</w:t>
      </w:r>
      <w:r/>
    </w:p>
    <w:tbl>
      <w:tblPr>
        <w:tblStyle w:val="888"/>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标题</w:t>
            </w:r>
            <w:r/>
          </w:p>
        </w:tc>
        <w:tc>
          <w:tcPr>
            <w:tcW w:w="3651" w:type="dxa"/>
            <w:vAlign w:val="center"/>
            <w:textDirection w:val="lrTb"/>
            <w:noWrap w:val="false"/>
          </w:tcPr>
          <w:p>
            <w:pPr>
              <w:jc w:val="center"/>
              <w:spacing w:line="360" w:lineRule="auto"/>
              <w:rPr>
                <w:rFonts w:ascii="宋体" w:hAnsi="宋体" w:eastAsia="宋体" w:cs="Times New Roman"/>
                <w:sz w:val="28"/>
                <w:szCs w:val="28"/>
                <w:highlight w:val="none"/>
              </w:rPr>
            </w:pPr>
            <w:r>
              <w:rPr>
                <w:rFonts w:ascii="宋体" w:hAnsi="宋体" w:eastAsia="宋体" w:cs="Times New Roman"/>
                <w:sz w:val="28"/>
                <w:szCs w:val="28"/>
                <w:highlight w:val="none"/>
              </w:rPr>
              <w:t xml:space="preserve">内容</w:t>
            </w:r>
            <w:r/>
          </w:p>
        </w:tc>
      </w:tr>
      <w:tr>
        <w:trPr>
          <w:cantSplit/>
          <w:jc w:val="center"/>
          <w:trHeight w:val="1310"/>
        </w:trPr>
        <w:tc>
          <w:tcPr>
            <w:tcW w:w="3653" w:type="dxa"/>
            <w:vAlign w:val="center"/>
            <w:textDirection w:val="lrTb"/>
            <w:noWrap w:val="false"/>
          </w:tcPr>
          <w:p>
            <w:pPr>
              <w:jc w:val="center"/>
              <w:spacing w:line="360" w:lineRule="auto"/>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投标报价</w:t>
            </w:r>
            <w:r/>
          </w:p>
        </w:tc>
        <w:tc>
          <w:tcPr>
            <w:tcW w:w="3651" w:type="dxa"/>
            <w:vAlign w:val="center"/>
            <w:textDirection w:val="lrTb"/>
            <w:noWrap w:val="false"/>
          </w:tcPr>
          <w:p>
            <w:pPr>
              <w:jc w:val="center"/>
              <w:spacing w:line="360" w:lineRule="auto"/>
              <w:rPr>
                <w:rFonts w:ascii="宋体" w:hAnsi="宋体" w:eastAsia="宋体" w:cs="Times New Roman"/>
                <w:sz w:val="28"/>
                <w:szCs w:val="28"/>
                <w:highlight w:val="none"/>
              </w:rPr>
            </w:pPr>
            <w:r>
              <w:rPr>
                <w:rFonts w:ascii="宋体" w:hAnsi="宋体" w:eastAsia="宋体" w:cs="Times New Roman"/>
                <w:sz w:val="28"/>
                <w:szCs w:val="28"/>
                <w:highlight w:val="none"/>
              </w:rPr>
            </w:r>
            <w:r/>
          </w:p>
        </w:tc>
      </w:tr>
    </w:tbl>
    <w:p>
      <w:pPr>
        <w:ind w:firstLine="420"/>
        <w:jc w:val="left"/>
        <w:spacing w:line="360" w:lineRule="auto"/>
        <w:rPr>
          <w:rFonts w:ascii="宋体" w:hAnsi="宋体" w:eastAsia="宋体" w:cs="Times New Roman"/>
          <w:bCs/>
          <w:szCs w:val="24"/>
          <w:highlight w:val="none"/>
        </w:rPr>
      </w:pPr>
      <w:r>
        <w:rPr>
          <w:rFonts w:ascii="宋体" w:hAnsi="宋体" w:eastAsia="宋体" w:cs="Times New Roman"/>
          <w:bCs/>
          <w:szCs w:val="24"/>
          <w:highlight w:val="none"/>
        </w:rPr>
      </w:r>
      <w:r/>
    </w:p>
    <w:p>
      <w:pPr>
        <w:ind w:firstLine="420"/>
        <w:jc w:val="left"/>
        <w:spacing w:line="360" w:lineRule="auto"/>
        <w:rPr>
          <w:rFonts w:ascii="宋体" w:hAnsi="宋体" w:eastAsia="宋体" w:cs="Times New Roman"/>
          <w:bCs/>
          <w:szCs w:val="24"/>
          <w:highlight w:val="none"/>
        </w:rPr>
      </w:pPr>
      <w:r>
        <w:rPr>
          <w:rFonts w:ascii="宋体" w:hAnsi="宋体" w:eastAsia="宋体" w:cs="Times New Roman"/>
          <w:bCs/>
          <w:szCs w:val="24"/>
          <w:highlight w:val="none"/>
        </w:rPr>
      </w:r>
      <w:r/>
    </w:p>
    <w:p>
      <w:pPr>
        <w:ind w:firstLine="420"/>
        <w:jc w:val="left"/>
        <w:spacing w:line="360" w:lineRule="auto"/>
        <w:rPr>
          <w:rFonts w:ascii="宋体" w:hAnsi="宋体" w:eastAsia="宋体" w:cs="Times New Roman"/>
          <w:bCs/>
          <w:szCs w:val="24"/>
          <w:highlight w:val="none"/>
        </w:rPr>
      </w:pPr>
      <w:r>
        <w:rPr>
          <w:rFonts w:ascii="宋体" w:hAnsi="宋体" w:eastAsia="宋体" w:cs="Times New Roman"/>
          <w:bCs/>
          <w:szCs w:val="24"/>
          <w:highlight w:val="none"/>
        </w:rPr>
      </w:r>
      <w:r/>
    </w:p>
    <w:p>
      <w:pPr>
        <w:ind w:firstLine="420"/>
        <w:spacing w:line="36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firstLine="420"/>
        <w:spacing w:line="360" w:lineRule="auto"/>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投标人（盖章）：</w:t>
      </w:r>
      <w:r/>
    </w:p>
    <w:p>
      <w:pPr>
        <w:ind w:firstLine="420"/>
        <w:spacing w:line="360" w:lineRule="auto"/>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法定代表人或委托代理人（签字或盖章）：</w:t>
      </w:r>
      <w:r/>
    </w:p>
    <w:p>
      <w:pPr>
        <w:ind w:firstLine="420"/>
        <w:spacing w:line="360" w:lineRule="auto"/>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日期：年月日</w:t>
      </w:r>
      <w:r/>
    </w:p>
    <w:p>
      <w:pPr>
        <w:ind w:firstLine="420"/>
        <w:spacing w:line="36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keepNext/>
        <w:spacing w:line="360" w:lineRule="auto"/>
        <w:rPr>
          <w:rFonts w:ascii="Times New Roman" w:hAnsi="宋体" w:eastAsia="黑体" w:cs="Times New Roman"/>
          <w:sz w:val="32"/>
          <w:szCs w:val="20"/>
          <w:highlight w:val="none"/>
        </w:rPr>
        <w:outlineLvl w:val="1"/>
      </w:pPr>
      <w:r>
        <w:rPr>
          <w:rFonts w:hint="eastAsia" w:ascii="Times New Roman" w:hAnsi="宋体" w:eastAsia="黑体" w:cs="Times New Roman"/>
          <w:sz w:val="32"/>
          <w:szCs w:val="20"/>
          <w:highlight w:val="none"/>
        </w:rPr>
        <w:br w:type="page" w:clear="all"/>
      </w:r>
      <w:r>
        <w:rPr>
          <w:rFonts w:hint="eastAsia" w:ascii="宋体" w:hAnsi="宋体" w:eastAsia="宋体" w:cs="Times New Roman"/>
          <w:sz w:val="24"/>
          <w:szCs w:val="24"/>
          <w:highlight w:val="none"/>
        </w:rPr>
        <w:t xml:space="preserve">格式3、投标产品配置及分项报价表</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投标产品配置及分项报价表</w:t>
      </w:r>
      <w:r/>
    </w:p>
    <w:p>
      <w:pPr>
        <w:jc w:val="left"/>
        <w:spacing w:line="360" w:lineRule="auto"/>
        <w:rPr>
          <w:rFonts w:hint="eastAsia" w:ascii="宋体" w:hAnsi="宋体" w:eastAsia="宋体" w:cs="方正仿宋_GBK"/>
          <w:sz w:val="24"/>
          <w:szCs w:val="24"/>
          <w:highlight w:val="none"/>
          <w:lang w:eastAsia="zh-CN"/>
        </w:rPr>
      </w:pPr>
      <w:r>
        <w:rPr>
          <w:rFonts w:hint="eastAsia" w:ascii="宋体" w:hAnsi="宋体" w:eastAsia="宋体" w:cs="方正仿宋_GBK"/>
          <w:sz w:val="24"/>
          <w:szCs w:val="24"/>
          <w:highlight w:val="none"/>
        </w:rPr>
        <w:t xml:space="preserve">标段名称：</w:t>
      </w:r>
      <w:r>
        <w:rPr>
          <w:rFonts w:hint="eastAsia" w:ascii="宋体" w:hAnsi="宋体" w:eastAsia="宋体" w:cs="方正仿宋_GBK"/>
          <w:sz w:val="24"/>
          <w:szCs w:val="24"/>
          <w:highlight w:val="none"/>
          <w:lang w:eastAsia="zh-CN"/>
        </w:rPr>
        <w:t xml:space="preserve">新海初级中学智慧教室</w:t>
      </w:r>
      <w:r/>
    </w:p>
    <w:p>
      <w:pPr>
        <w:jc w:val="left"/>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方正仿宋_GBK"/>
          <w:sz w:val="24"/>
          <w:szCs w:val="24"/>
          <w:highlight w:val="none"/>
        </w:rPr>
        <w:t xml:space="preserve">标段编号：</w:t>
      </w:r>
      <w:r>
        <w:rPr>
          <w:rFonts w:hint="eastAsia" w:ascii="宋体" w:hAnsi="宋体" w:eastAsia="宋体" w:cs="方正仿宋_GBK"/>
          <w:sz w:val="24"/>
          <w:szCs w:val="24"/>
          <w:highlight w:val="none"/>
          <w:lang w:val="en-US" w:eastAsia="zh-CN"/>
        </w:rPr>
        <w:t xml:space="preserve">***</w:t>
      </w:r>
      <w:r/>
    </w:p>
    <w:p>
      <w:pPr>
        <w:jc w:val="right"/>
        <w:spacing w:line="360" w:lineRule="auto"/>
        <w:rPr>
          <w:rFonts w:ascii="宋体" w:hAnsi="宋体" w:eastAsia="宋体" w:cs="Times New Roman"/>
          <w:szCs w:val="24"/>
          <w:highlight w:val="none"/>
        </w:rPr>
      </w:pPr>
      <w:r>
        <w:rPr>
          <w:rFonts w:hint="eastAsia" w:ascii="宋体" w:hAnsi="宋体" w:eastAsia="宋体" w:cs="Times New Roman"/>
          <w:szCs w:val="24"/>
          <w:highlight w:val="none"/>
        </w:rPr>
        <w:t xml:space="preserve">单位：元</w:t>
      </w:r>
      <w:r/>
    </w:p>
    <w:tbl>
      <w:tblPr>
        <w:tblStyle w:val="888"/>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tcPr>
          <w:p>
            <w:pPr>
              <w:jc w:val="center"/>
              <w:widowControl/>
              <w:rPr>
                <w:bCs/>
                <w:highlight w:val="none"/>
              </w:rPr>
            </w:pPr>
            <w:r>
              <w:rPr>
                <w:rFonts w:hint="eastAsia"/>
                <w:bCs/>
                <w:highlight w:val="none"/>
              </w:rPr>
              <w:t xml:space="preserve">序号</w:t>
            </w:r>
            <w:r/>
          </w:p>
        </w:tc>
        <w:tc>
          <w:tcPr>
            <w:tcW w:w="1134" w:type="dxa"/>
            <w:vAlign w:val="center"/>
            <w:textDirection w:val="lrTb"/>
            <w:noWrap/>
          </w:tcPr>
          <w:p>
            <w:pPr>
              <w:jc w:val="center"/>
              <w:widowControl/>
              <w:rPr>
                <w:bCs/>
                <w:highlight w:val="none"/>
              </w:rPr>
            </w:pPr>
            <w:r>
              <w:rPr>
                <w:bCs/>
                <w:highlight w:val="none"/>
              </w:rPr>
              <w:t xml:space="preserve">名称</w:t>
            </w:r>
            <w:r/>
          </w:p>
        </w:tc>
        <w:tc>
          <w:tcPr>
            <w:tcW w:w="709" w:type="dxa"/>
            <w:vAlign w:val="center"/>
            <w:textDirection w:val="lrTb"/>
            <w:noWrap/>
          </w:tcPr>
          <w:p>
            <w:pPr>
              <w:jc w:val="center"/>
              <w:widowControl/>
              <w:rPr>
                <w:bCs/>
                <w:highlight w:val="none"/>
              </w:rPr>
            </w:pPr>
            <w:r>
              <w:rPr>
                <w:bCs/>
                <w:highlight w:val="none"/>
              </w:rPr>
              <w:t xml:space="preserve">品牌</w:t>
            </w:r>
            <w:r/>
          </w:p>
        </w:tc>
        <w:tc>
          <w:tcPr>
            <w:tcW w:w="1134" w:type="dxa"/>
            <w:vAlign w:val="center"/>
            <w:textDirection w:val="lrTb"/>
            <w:noWrap/>
          </w:tcPr>
          <w:p>
            <w:pPr>
              <w:jc w:val="center"/>
              <w:widowControl/>
              <w:rPr>
                <w:bCs/>
                <w:highlight w:val="none"/>
              </w:rPr>
            </w:pPr>
            <w:r>
              <w:rPr>
                <w:bCs/>
                <w:highlight w:val="none"/>
              </w:rPr>
              <w:t xml:space="preserve">规格型号</w:t>
            </w:r>
            <w:r/>
          </w:p>
        </w:tc>
        <w:tc>
          <w:tcPr>
            <w:tcW w:w="850" w:type="dxa"/>
            <w:vAlign w:val="center"/>
            <w:textDirection w:val="lrTb"/>
            <w:noWrap/>
          </w:tcPr>
          <w:p>
            <w:pPr>
              <w:jc w:val="center"/>
              <w:widowControl/>
              <w:rPr>
                <w:bCs/>
                <w:highlight w:val="none"/>
              </w:rPr>
            </w:pPr>
            <w:r>
              <w:rPr>
                <w:bCs/>
                <w:highlight w:val="none"/>
              </w:rPr>
              <w:t xml:space="preserve">制造商</w:t>
            </w:r>
            <w:r/>
          </w:p>
        </w:tc>
        <w:tc>
          <w:tcPr>
            <w:tcW w:w="1134" w:type="dxa"/>
            <w:vAlign w:val="center"/>
            <w:textDirection w:val="lrTb"/>
            <w:noWrap/>
          </w:tcPr>
          <w:p>
            <w:pPr>
              <w:jc w:val="center"/>
              <w:widowControl/>
              <w:rPr>
                <w:bCs/>
                <w:highlight w:val="none"/>
              </w:rPr>
            </w:pPr>
            <w:r>
              <w:rPr>
                <w:bCs/>
                <w:highlight w:val="none"/>
              </w:rPr>
              <w:t xml:space="preserve">制造商企业类型</w:t>
            </w:r>
            <w:r/>
          </w:p>
        </w:tc>
        <w:tc>
          <w:tcPr>
            <w:tcW w:w="709" w:type="dxa"/>
            <w:vAlign w:val="center"/>
            <w:textDirection w:val="lrTb"/>
            <w:noWrap/>
          </w:tcPr>
          <w:p>
            <w:pPr>
              <w:jc w:val="center"/>
              <w:widowControl/>
              <w:rPr>
                <w:bCs/>
                <w:highlight w:val="none"/>
              </w:rPr>
            </w:pPr>
            <w:r>
              <w:rPr>
                <w:bCs/>
                <w:highlight w:val="none"/>
              </w:rPr>
              <w:t xml:space="preserve">单价</w:t>
            </w:r>
            <w:r/>
          </w:p>
        </w:tc>
        <w:tc>
          <w:tcPr>
            <w:tcW w:w="1134" w:type="dxa"/>
            <w:vAlign w:val="center"/>
            <w:textDirection w:val="lrTb"/>
            <w:noWrap/>
          </w:tcPr>
          <w:p>
            <w:pPr>
              <w:jc w:val="center"/>
              <w:widowControl/>
              <w:rPr>
                <w:bCs/>
                <w:highlight w:val="none"/>
              </w:rPr>
            </w:pPr>
            <w:r>
              <w:rPr>
                <w:bCs/>
                <w:highlight w:val="none"/>
              </w:rPr>
              <w:t xml:space="preserve">采购数量</w:t>
            </w:r>
            <w:r/>
          </w:p>
        </w:tc>
        <w:tc>
          <w:tcPr>
            <w:tcW w:w="1094" w:type="dxa"/>
            <w:vAlign w:val="center"/>
            <w:textDirection w:val="lrTb"/>
            <w:noWrap/>
          </w:tcPr>
          <w:p>
            <w:pPr>
              <w:jc w:val="center"/>
              <w:widowControl/>
              <w:rPr>
                <w:bCs/>
                <w:highlight w:val="none"/>
              </w:rPr>
            </w:pPr>
            <w:r>
              <w:rPr>
                <w:bCs/>
                <w:highlight w:val="none"/>
              </w:rPr>
              <w:t xml:space="preserve">计量单位</w:t>
            </w:r>
            <w:r/>
          </w:p>
        </w:tc>
        <w:tc>
          <w:tcPr>
            <w:tcW w:w="1047" w:type="dxa"/>
            <w:vAlign w:val="center"/>
            <w:textDirection w:val="lrTb"/>
            <w:noWrap/>
          </w:tcPr>
          <w:p>
            <w:pPr>
              <w:jc w:val="center"/>
              <w:widowControl/>
              <w:rPr>
                <w:bCs/>
                <w:highlight w:val="none"/>
              </w:rPr>
            </w:pPr>
            <w:r>
              <w:rPr>
                <w:bCs/>
                <w:highlight w:val="none"/>
              </w:rPr>
              <w:t xml:space="preserve">总价</w:t>
            </w:r>
            <w:r/>
          </w:p>
        </w:tc>
      </w:tr>
      <w:tr>
        <w:trPr>
          <w:jc w:val="center"/>
          <w:trHeight w:val="581"/>
        </w:trPr>
        <w:tc>
          <w:tcPr>
            <w:tcW w:w="726"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850"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1094" w:type="dxa"/>
            <w:vAlign w:val="center"/>
            <w:textDirection w:val="lrTb"/>
            <w:noWrap/>
          </w:tcPr>
          <w:p>
            <w:pPr>
              <w:widowControl/>
              <w:rPr>
                <w:highlight w:val="none"/>
              </w:rPr>
            </w:pPr>
            <w:r>
              <w:rPr>
                <w:highlight w:val="none"/>
              </w:rPr>
            </w:r>
            <w:r/>
          </w:p>
        </w:tc>
        <w:tc>
          <w:tcPr>
            <w:tcW w:w="1047" w:type="dxa"/>
            <w:vAlign w:val="center"/>
            <w:textDirection w:val="lrTb"/>
            <w:noWrap/>
          </w:tcPr>
          <w:p>
            <w:pPr>
              <w:widowControl/>
              <w:rPr>
                <w:highlight w:val="none"/>
              </w:rPr>
            </w:pPr>
            <w:r>
              <w:rPr>
                <w:highlight w:val="none"/>
              </w:rPr>
            </w:r>
            <w:r/>
          </w:p>
        </w:tc>
      </w:tr>
      <w:tr>
        <w:trPr>
          <w:jc w:val="center"/>
          <w:trHeight w:val="548"/>
        </w:trPr>
        <w:tc>
          <w:tcPr>
            <w:tcW w:w="726"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850"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1094" w:type="dxa"/>
            <w:vAlign w:val="center"/>
            <w:textDirection w:val="lrTb"/>
            <w:noWrap/>
          </w:tcPr>
          <w:p>
            <w:pPr>
              <w:widowControl/>
              <w:rPr>
                <w:highlight w:val="none"/>
              </w:rPr>
            </w:pPr>
            <w:r>
              <w:rPr>
                <w:highlight w:val="none"/>
              </w:rPr>
            </w:r>
            <w:r/>
          </w:p>
        </w:tc>
        <w:tc>
          <w:tcPr>
            <w:tcW w:w="1047" w:type="dxa"/>
            <w:vAlign w:val="center"/>
            <w:textDirection w:val="lrTb"/>
            <w:noWrap/>
          </w:tcPr>
          <w:p>
            <w:pPr>
              <w:widowControl/>
              <w:rPr>
                <w:highlight w:val="none"/>
              </w:rPr>
            </w:pPr>
            <w:r>
              <w:rPr>
                <w:highlight w:val="none"/>
              </w:rPr>
            </w:r>
            <w:r/>
          </w:p>
        </w:tc>
      </w:tr>
      <w:tr>
        <w:trPr>
          <w:jc w:val="center"/>
          <w:trHeight w:val="551"/>
        </w:trPr>
        <w:tc>
          <w:tcPr>
            <w:tcW w:w="726"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850"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1094" w:type="dxa"/>
            <w:vAlign w:val="center"/>
            <w:textDirection w:val="lrTb"/>
            <w:noWrap/>
          </w:tcPr>
          <w:p>
            <w:pPr>
              <w:widowControl/>
              <w:rPr>
                <w:highlight w:val="none"/>
              </w:rPr>
            </w:pPr>
            <w:r>
              <w:rPr>
                <w:highlight w:val="none"/>
              </w:rPr>
            </w:r>
            <w:r/>
          </w:p>
        </w:tc>
        <w:tc>
          <w:tcPr>
            <w:tcW w:w="1047" w:type="dxa"/>
            <w:vAlign w:val="center"/>
            <w:textDirection w:val="lrTb"/>
            <w:noWrap/>
          </w:tcPr>
          <w:p>
            <w:pPr>
              <w:widowControl/>
              <w:rPr>
                <w:highlight w:val="none"/>
              </w:rPr>
            </w:pPr>
            <w:r>
              <w:rPr>
                <w:highlight w:val="none"/>
              </w:rPr>
            </w:r>
            <w:r/>
          </w:p>
        </w:tc>
      </w:tr>
      <w:tr>
        <w:trPr>
          <w:jc w:val="center"/>
          <w:trHeight w:val="547"/>
        </w:trPr>
        <w:tc>
          <w:tcPr>
            <w:tcW w:w="726"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850"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1094" w:type="dxa"/>
            <w:vAlign w:val="center"/>
            <w:textDirection w:val="lrTb"/>
            <w:noWrap/>
          </w:tcPr>
          <w:p>
            <w:pPr>
              <w:widowControl/>
              <w:rPr>
                <w:highlight w:val="none"/>
              </w:rPr>
            </w:pPr>
            <w:r>
              <w:rPr>
                <w:highlight w:val="none"/>
              </w:rPr>
            </w:r>
            <w:r/>
          </w:p>
        </w:tc>
        <w:tc>
          <w:tcPr>
            <w:tcW w:w="1047" w:type="dxa"/>
            <w:vAlign w:val="center"/>
            <w:textDirection w:val="lrTb"/>
            <w:noWrap/>
          </w:tcPr>
          <w:p>
            <w:pPr>
              <w:widowControl/>
              <w:rPr>
                <w:highlight w:val="none"/>
              </w:rPr>
            </w:pPr>
            <w:r>
              <w:rPr>
                <w:highlight w:val="none"/>
              </w:rPr>
            </w:r>
            <w:r/>
          </w:p>
        </w:tc>
      </w:tr>
      <w:tr>
        <w:trPr>
          <w:jc w:val="center"/>
          <w:trHeight w:val="567"/>
        </w:trPr>
        <w:tc>
          <w:tcPr>
            <w:tcW w:w="726"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850"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1094" w:type="dxa"/>
            <w:vAlign w:val="center"/>
            <w:textDirection w:val="lrTb"/>
            <w:noWrap/>
          </w:tcPr>
          <w:p>
            <w:pPr>
              <w:widowControl/>
              <w:rPr>
                <w:highlight w:val="none"/>
              </w:rPr>
            </w:pPr>
            <w:r>
              <w:rPr>
                <w:highlight w:val="none"/>
              </w:rPr>
            </w:r>
            <w:r/>
          </w:p>
        </w:tc>
        <w:tc>
          <w:tcPr>
            <w:tcW w:w="1047" w:type="dxa"/>
            <w:vAlign w:val="center"/>
            <w:textDirection w:val="lrTb"/>
            <w:noWrap/>
          </w:tcPr>
          <w:p>
            <w:pPr>
              <w:widowControl/>
              <w:rPr>
                <w:highlight w:val="none"/>
              </w:rPr>
            </w:pPr>
            <w:r>
              <w:rPr>
                <w:highlight w:val="none"/>
              </w:rPr>
            </w:r>
            <w:r/>
          </w:p>
        </w:tc>
      </w:tr>
      <w:tr>
        <w:trPr>
          <w:jc w:val="center"/>
          <w:trHeight w:val="567"/>
        </w:trPr>
        <w:tc>
          <w:tcPr>
            <w:gridSpan w:val="9"/>
            <w:tcW w:w="8624" w:type="dxa"/>
            <w:vAlign w:val="center"/>
            <w:textDirection w:val="lrTb"/>
            <w:noWrap/>
          </w:tcPr>
          <w:p>
            <w:pPr>
              <w:jc w:val="center"/>
              <w:widowControl/>
              <w:rPr>
                <w:highlight w:val="none"/>
              </w:rPr>
            </w:pPr>
            <w:r>
              <w:rPr>
                <w:rFonts w:hint="eastAsia"/>
                <w:highlight w:val="none"/>
              </w:rPr>
              <w:t xml:space="preserve">总计（元）</w:t>
            </w:r>
            <w:r/>
          </w:p>
        </w:tc>
        <w:tc>
          <w:tcPr>
            <w:tcW w:w="1047" w:type="dxa"/>
            <w:vAlign w:val="center"/>
            <w:textDirection w:val="lrTb"/>
            <w:noWrap/>
          </w:tcPr>
          <w:p>
            <w:pPr>
              <w:widowControl/>
              <w:rPr>
                <w:highlight w:val="none"/>
              </w:rPr>
            </w:pPr>
            <w:r>
              <w:rPr>
                <w:highlight w:val="none"/>
              </w:rPr>
            </w:r>
            <w:r/>
          </w:p>
        </w:tc>
      </w:tr>
    </w:tbl>
    <w:p>
      <w:pPr>
        <w:ind w:firstLine="420"/>
        <w:spacing w:line="360" w:lineRule="auto"/>
        <w:rPr>
          <w:rFonts w:ascii="宋体" w:hAnsi="宋体" w:eastAsia="宋体" w:cs="Times New Roman"/>
          <w:szCs w:val="24"/>
          <w:highlight w:val="none"/>
        </w:rPr>
      </w:pPr>
      <w:r>
        <w:rPr>
          <w:rFonts w:hint="eastAsia" w:ascii="宋体" w:hAnsi="宋体" w:eastAsia="宋体" w:cs="Times New Roman"/>
          <w:szCs w:val="24"/>
          <w:highlight w:val="none"/>
        </w:rPr>
        <w:t xml:space="preserve">填报说明：</w:t>
      </w:r>
      <w:r/>
    </w:p>
    <w:p>
      <w:pPr>
        <w:ind w:firstLine="420"/>
        <w:spacing w:line="360" w:lineRule="auto"/>
        <w:rPr>
          <w:rFonts w:ascii="宋体" w:hAnsi="宋体" w:eastAsia="宋体" w:cs="Times New Roman"/>
          <w:szCs w:val="24"/>
          <w:highlight w:val="none"/>
        </w:rPr>
      </w:pPr>
      <w:r>
        <w:rPr>
          <w:rFonts w:hint="eastAsia" w:ascii="宋体" w:hAnsi="宋体" w:eastAsia="宋体" w:cs="Times New Roman"/>
          <w:szCs w:val="24"/>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ascii="宋体" w:hAnsi="宋体" w:eastAsia="宋体" w:cs="Times New Roman"/>
          <w:szCs w:val="24"/>
          <w:highlight w:val="none"/>
        </w:rPr>
      </w:pPr>
      <w:r>
        <w:rPr>
          <w:rFonts w:hint="eastAsia" w:ascii="宋体" w:hAnsi="宋体" w:eastAsia="宋体" w:cs="Times New Roman"/>
          <w:szCs w:val="24"/>
          <w:highlight w:val="none"/>
        </w:rPr>
        <w:t xml:space="preserve">2、以上总价包含货物费用、运杂费、安装施工费、集成费、税金和其他费用。</w:t>
      </w:r>
      <w:r/>
    </w:p>
    <w:p>
      <w:pPr>
        <w:ind w:firstLine="420"/>
        <w:spacing w:line="360" w:lineRule="auto"/>
        <w:rPr>
          <w:rFonts w:ascii="宋体" w:hAnsi="宋体" w:eastAsia="宋体" w:cs="Times New Roman"/>
          <w:szCs w:val="24"/>
          <w:highlight w:val="none"/>
        </w:rPr>
      </w:pPr>
      <w:r>
        <w:rPr>
          <w:rFonts w:hint="eastAsia" w:ascii="宋体" w:hAnsi="宋体" w:eastAsia="宋体" w:cs="Times New Roman"/>
          <w:szCs w:val="24"/>
          <w:highlight w:val="none"/>
        </w:rPr>
        <w:t xml:space="preserve">3、请供应商正确填写本表，所填内容将作为评审的依据，其内容应与对应的证明资料相符。</w:t>
      </w:r>
      <w:r/>
    </w:p>
    <w:p>
      <w:pPr>
        <w:ind w:firstLine="420"/>
        <w:spacing w:line="360" w:lineRule="auto"/>
        <w:rPr>
          <w:rFonts w:ascii="宋体" w:hAnsi="宋体" w:eastAsia="宋体" w:cs="Times New Roman"/>
          <w:szCs w:val="24"/>
          <w:highlight w:val="none"/>
        </w:rPr>
      </w:pPr>
      <w:r>
        <w:rPr>
          <w:rFonts w:hint="eastAsia" w:ascii="宋体" w:hAnsi="宋体" w:eastAsia="宋体" w:cs="Times New Roman"/>
          <w:szCs w:val="24"/>
          <w:highlight w:val="none"/>
        </w:rPr>
        <w:t xml:space="preserve">4、本表中事项填写不得有缺失，请如实填写，行数或事项不够，可自行增加。</w:t>
      </w:r>
      <w:r/>
    </w:p>
    <w:p>
      <w:pPr>
        <w:pStyle w:val="889"/>
        <w:rPr>
          <w:highlight w:val="none"/>
        </w:rPr>
      </w:pPr>
      <w:r>
        <w:rPr>
          <w:highlight w:val="none"/>
        </w:rPr>
      </w:r>
      <w:r/>
    </w:p>
    <w:p>
      <w:pPr>
        <w:ind w:firstLine="420"/>
        <w:spacing w:line="360" w:lineRule="auto"/>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投标人（盖章）：</w:t>
      </w:r>
      <w:r/>
    </w:p>
    <w:p>
      <w:pPr>
        <w:ind w:firstLine="420"/>
        <w:spacing w:line="360" w:lineRule="auto"/>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法定代表人或委托代理人（签字或盖章）：</w:t>
      </w:r>
      <w:r/>
    </w:p>
    <w:p>
      <w:pPr>
        <w:ind w:firstLine="420"/>
        <w:spacing w:line="360" w:lineRule="auto"/>
        <w:rPr>
          <w:rFonts w:ascii="宋体" w:hAnsi="宋体" w:eastAsia="宋体" w:cs="Times New Roman"/>
          <w:szCs w:val="24"/>
          <w:highlight w:val="none"/>
        </w:rPr>
      </w:pPr>
      <w:r>
        <w:rPr>
          <w:rFonts w:hint="eastAsia" w:ascii="Times New Roman" w:hAnsi="Times New Roman" w:eastAsia="宋体" w:cs="Times New Roman"/>
          <w:szCs w:val="24"/>
          <w:highlight w:val="none"/>
        </w:rPr>
        <w:t xml:space="preserve">日期：年月日</w:t>
      </w:r>
      <w:r/>
    </w:p>
    <w:p>
      <w:pPr>
        <w:keepNext/>
        <w:spacing w:line="360" w:lineRule="auto"/>
        <w:rPr>
          <w:rFonts w:ascii="Times New Roman" w:hAnsi="Times New Roman" w:eastAsia="黑体" w:cs="Times New Roman"/>
          <w:b/>
          <w:sz w:val="28"/>
          <w:szCs w:val="20"/>
          <w:highlight w:val="none"/>
        </w:rPr>
        <w:outlineLvl w:val="1"/>
      </w:pPr>
      <w:r>
        <w:rPr>
          <w:rFonts w:ascii="Times New Roman" w:hAnsi="Times New Roman" w:eastAsia="黑体" w:cs="Times New Roman"/>
          <w:sz w:val="28"/>
          <w:szCs w:val="20"/>
          <w:highlight w:val="none"/>
        </w:rPr>
        <w:br w:type="page" w:clear="all"/>
      </w:r>
      <w:r>
        <w:rPr>
          <w:rFonts w:hint="eastAsia" w:ascii="宋体" w:hAnsi="宋体" w:eastAsia="宋体" w:cs="Times New Roman"/>
          <w:sz w:val="24"/>
          <w:szCs w:val="24"/>
          <w:highlight w:val="none"/>
        </w:rPr>
        <w:t xml:space="preserve">格式4、中小企业声明函</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中小企业声明函</w:t>
      </w:r>
      <w:r/>
    </w:p>
    <w:p>
      <w:pPr>
        <w:jc w:val="left"/>
        <w:rPr>
          <w:rFonts w:ascii="MS Mincho" w:hAnsi="Calibri" w:eastAsia="宋体" w:cs="Times New Roman"/>
          <w:szCs w:val="24"/>
          <w:highlight w:val="none"/>
        </w:rPr>
      </w:pPr>
      <w:r>
        <w:rPr>
          <w:rFonts w:ascii="MS Mincho" w:hAnsi="Calibri" w:eastAsia="宋体" w:cs="Times New Roman"/>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本公司郑重声明，根据《政府采购促进中小企业发展管理办法》（财库﹝2020﹞46号）的规定，本公司参加</w:t>
      </w:r>
      <w:r>
        <w:rPr>
          <w:rFonts w:ascii="宋体" w:hAnsi="宋体" w:eastAsia="宋体" w:cs="Times New Roman"/>
          <w:sz w:val="24"/>
          <w:szCs w:val="24"/>
          <w:highlight w:val="none"/>
          <w:u w:val="single"/>
        </w:rPr>
        <w:t xml:space="preserve">（单位名称）</w:t>
      </w:r>
      <w:r>
        <w:rPr>
          <w:rFonts w:ascii="宋体" w:hAnsi="宋体" w:eastAsia="宋体" w:cs="Times New Roman"/>
          <w:sz w:val="24"/>
          <w:szCs w:val="24"/>
          <w:highlight w:val="none"/>
        </w:rPr>
        <w:t xml:space="preserve">的</w:t>
      </w:r>
      <w:r>
        <w:rPr>
          <w:rFonts w:ascii="宋体" w:hAnsi="宋体" w:eastAsia="宋体" w:cs="Times New Roman"/>
          <w:sz w:val="24"/>
          <w:szCs w:val="24"/>
          <w:highlight w:val="none"/>
          <w:u w:val="single"/>
        </w:rPr>
        <w:t xml:space="preserve">（项目名称）</w:t>
      </w:r>
      <w:r>
        <w:rPr>
          <w:rFonts w:ascii="宋体" w:hAnsi="宋体" w:eastAsia="宋体" w:cs="Times New Roman"/>
          <w:sz w:val="24"/>
          <w:szCs w:val="24"/>
          <w:highlight w:val="none"/>
        </w:rPr>
        <w:t xml:space="preserve">采购活动，提供的货物全部由符合政策要求的中小企业制造。相关企业的具体情况如下：</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 1. </w:t>
      </w:r>
      <w:r>
        <w:rPr>
          <w:rFonts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u w:val="single"/>
        </w:rPr>
        <w:t xml:space="preserve">货物</w:t>
      </w:r>
      <w:r>
        <w:rPr>
          <w:rFonts w:ascii="宋体" w:hAnsi="宋体" w:eastAsia="宋体" w:cs="Times New Roman"/>
          <w:sz w:val="24"/>
          <w:szCs w:val="24"/>
          <w:highlight w:val="none"/>
          <w:u w:val="single"/>
        </w:rPr>
        <w:t xml:space="preserve">名称） </w:t>
      </w:r>
      <w:r>
        <w:rPr>
          <w:rFonts w:ascii="宋体" w:hAnsi="宋体" w:eastAsia="宋体" w:cs="Times New Roman"/>
          <w:sz w:val="24"/>
          <w:szCs w:val="24"/>
          <w:highlight w:val="none"/>
        </w:rPr>
        <w:t xml:space="preserve">，属于</w:t>
      </w:r>
      <w:r>
        <w:rPr>
          <w:rFonts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u w:val="single"/>
        </w:rPr>
        <w:t xml:space="preserve">招标</w:t>
      </w:r>
      <w:r>
        <w:rPr>
          <w:rFonts w:ascii="宋体" w:hAnsi="宋体" w:eastAsia="宋体" w:cs="Times New Roman"/>
          <w:sz w:val="24"/>
          <w:szCs w:val="24"/>
          <w:highlight w:val="none"/>
          <w:u w:val="single"/>
        </w:rPr>
        <w:t xml:space="preserve">文件中明确的所属行业） </w:t>
      </w:r>
      <w:r>
        <w:rPr>
          <w:rFonts w:ascii="宋体" w:hAnsi="宋体" w:eastAsia="宋体" w:cs="Times New Roman"/>
          <w:sz w:val="24"/>
          <w:szCs w:val="24"/>
          <w:highlight w:val="none"/>
        </w:rPr>
        <w:t xml:space="preserve">行业；制造商为</w:t>
      </w:r>
      <w:r>
        <w:rPr>
          <w:rFonts w:ascii="宋体" w:hAnsi="宋体" w:eastAsia="宋体" w:cs="Times New Roman"/>
          <w:sz w:val="24"/>
          <w:szCs w:val="24"/>
          <w:highlight w:val="none"/>
          <w:u w:val="single"/>
        </w:rPr>
        <w:t xml:space="preserve">（企业名称）</w:t>
      </w:r>
      <w:r>
        <w:rPr>
          <w:rFonts w:ascii="宋体" w:hAnsi="宋体" w:eastAsia="宋体" w:cs="Times New Roman"/>
          <w:sz w:val="24"/>
          <w:szCs w:val="24"/>
          <w:highlight w:val="none"/>
        </w:rPr>
        <w:t xml:space="preserve">，从业人员人，营业收入为万元，资产总额为万元，属于</w:t>
      </w:r>
      <w:r>
        <w:rPr>
          <w:rFonts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u w:val="single"/>
        </w:rPr>
        <w:t xml:space="preserve">中型企业、</w:t>
      </w:r>
      <w:r>
        <w:rPr>
          <w:rFonts w:ascii="宋体" w:hAnsi="宋体" w:eastAsia="宋体" w:cs="Times New Roman"/>
          <w:sz w:val="24"/>
          <w:szCs w:val="24"/>
          <w:highlight w:val="none"/>
          <w:u w:val="single"/>
        </w:rPr>
        <w:t xml:space="preserve">小型企业、微型企业）</w:t>
      </w:r>
      <w:r>
        <w:rPr>
          <w:rFonts w:ascii="宋体" w:hAnsi="宋体" w:eastAsia="宋体" w:cs="Times New Roman"/>
          <w:sz w:val="24"/>
          <w:szCs w:val="24"/>
          <w:highlight w:val="none"/>
        </w:rPr>
        <w:t xml:space="preserve">； </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 </w:t>
      </w:r>
      <w:r>
        <w:rPr>
          <w:rFonts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u w:val="single"/>
        </w:rPr>
        <w:t xml:space="preserve">货物</w:t>
      </w:r>
      <w:r>
        <w:rPr>
          <w:rFonts w:ascii="宋体" w:hAnsi="宋体" w:eastAsia="宋体" w:cs="Times New Roman"/>
          <w:sz w:val="24"/>
          <w:szCs w:val="24"/>
          <w:highlight w:val="none"/>
          <w:u w:val="single"/>
        </w:rPr>
        <w:t xml:space="preserve">名称） </w:t>
      </w:r>
      <w:r>
        <w:rPr>
          <w:rFonts w:ascii="宋体" w:hAnsi="宋体" w:eastAsia="宋体" w:cs="Times New Roman"/>
          <w:sz w:val="24"/>
          <w:szCs w:val="24"/>
          <w:highlight w:val="none"/>
        </w:rPr>
        <w:t xml:space="preserve">，属于</w:t>
      </w:r>
      <w:r>
        <w:rPr>
          <w:rFonts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u w:val="single"/>
        </w:rPr>
        <w:t xml:space="preserve">招标</w:t>
      </w:r>
      <w:r>
        <w:rPr>
          <w:rFonts w:ascii="宋体" w:hAnsi="宋体" w:eastAsia="宋体" w:cs="Times New Roman"/>
          <w:sz w:val="24"/>
          <w:szCs w:val="24"/>
          <w:highlight w:val="none"/>
          <w:u w:val="single"/>
        </w:rPr>
        <w:t xml:space="preserve">文件中明确的所属行业） </w:t>
      </w:r>
      <w:r>
        <w:rPr>
          <w:rFonts w:ascii="宋体" w:hAnsi="宋体" w:eastAsia="宋体" w:cs="Times New Roman"/>
          <w:sz w:val="24"/>
          <w:szCs w:val="24"/>
          <w:highlight w:val="none"/>
        </w:rPr>
        <w:t xml:space="preserve">行业；制造商为</w:t>
      </w:r>
      <w:r>
        <w:rPr>
          <w:rFonts w:ascii="宋体" w:hAnsi="宋体" w:eastAsia="宋体" w:cs="Times New Roman"/>
          <w:sz w:val="24"/>
          <w:szCs w:val="24"/>
          <w:highlight w:val="none"/>
          <w:u w:val="single"/>
        </w:rPr>
        <w:t xml:space="preserve">（企业名称）</w:t>
      </w:r>
      <w:r>
        <w:rPr>
          <w:rFonts w:ascii="宋体" w:hAnsi="宋体" w:eastAsia="宋体" w:cs="Times New Roman"/>
          <w:sz w:val="24"/>
          <w:szCs w:val="24"/>
          <w:highlight w:val="none"/>
        </w:rPr>
        <w:t xml:space="preserve">，从业人员人，营业收入为万元，资产总额为万元，属于</w:t>
      </w:r>
      <w:r>
        <w:rPr>
          <w:rFonts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u w:val="single"/>
        </w:rPr>
        <w:t xml:space="preserve">中型企业、</w:t>
      </w:r>
      <w:r>
        <w:rPr>
          <w:rFonts w:ascii="宋体" w:hAnsi="宋体" w:eastAsia="宋体" w:cs="Times New Roman"/>
          <w:sz w:val="24"/>
          <w:szCs w:val="24"/>
          <w:highlight w:val="none"/>
          <w:u w:val="single"/>
        </w:rPr>
        <w:t xml:space="preserve">小型企业、微型企业）</w:t>
      </w:r>
      <w:r>
        <w:rPr>
          <w:rFonts w:ascii="宋体" w:hAnsi="宋体" w:eastAsia="宋体" w:cs="Times New Roman"/>
          <w:sz w:val="24"/>
          <w:szCs w:val="24"/>
          <w:highlight w:val="none"/>
        </w:rPr>
        <w:t xml:space="preserve">；</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 …… </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本企业对上述声明内容的真实性负责。如有虚假，将依法承担相应责任。 </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firstLine="492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firstLine="492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企业名称（盖章）： </w:t>
      </w:r>
      <w:r/>
    </w:p>
    <w:p>
      <w:pPr>
        <w:ind w:right="480" w:firstLine="492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日 期：</w:t>
      </w:r>
      <w:r>
        <w:rPr>
          <w:rFonts w:hint="eastAsia" w:ascii="宋体" w:hAnsi="宋体" w:eastAsia="宋体" w:cs="Times New Roman"/>
          <w:sz w:val="24"/>
          <w:szCs w:val="24"/>
          <w:highlight w:val="none"/>
        </w:rPr>
        <w:t xml:space="preserve">   年   月   日</w:t>
      </w:r>
      <w:r/>
    </w:p>
    <w:p>
      <w:pPr>
        <w:ind w:right="480" w:firstLine="482"/>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r>
      <w:r/>
    </w:p>
    <w:p>
      <w:pPr>
        <w:ind w:right="480" w:firstLine="482"/>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r>
      <w:r/>
    </w:p>
    <w:p>
      <w:pPr>
        <w:ind w:right="480" w:firstLine="482"/>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r>
      <w:r/>
    </w:p>
    <w:p>
      <w:pPr>
        <w:ind w:right="480" w:firstLine="482"/>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r>
      <w:r/>
    </w:p>
    <w:p>
      <w:pPr>
        <w:ind w:right="480"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right="480"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2、请供应商如实填写，所填内容将作为评审的依据。其内容填写须与分项报价表一致，如填写不完整或不一致，将不享受扶持政策。</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3、中标供应商的《中小企业声明函》随中标结果公开。</w:t>
      </w:r>
      <w:r/>
    </w:p>
    <w:p>
      <w:pPr>
        <w:ind w:firstLine="482"/>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r>
      <w:r/>
    </w:p>
    <w:p>
      <w:pPr>
        <w:jc w:val="left"/>
        <w:widowControl/>
        <w:rPr>
          <w:rFonts w:ascii="宋体" w:hAnsi="宋体" w:eastAsia="宋体" w:cs="Times New Roman"/>
          <w:sz w:val="24"/>
          <w:szCs w:val="24"/>
          <w:highlight w:val="none"/>
        </w:rPr>
      </w:pPr>
      <w:r>
        <w:rPr>
          <w:rFonts w:ascii="宋体" w:hAnsi="宋体" w:eastAsia="宋体" w:cs="Times New Roman"/>
          <w:sz w:val="24"/>
          <w:szCs w:val="24"/>
          <w:highlight w:val="none"/>
        </w:rPr>
        <w:br w:type="page" w:clear="all"/>
      </w:r>
      <w:r/>
    </w:p>
    <w:p>
      <w:pPr>
        <w:keepNext/>
        <w:spacing w:line="360" w:lineRule="auto"/>
        <w:rPr>
          <w:rFonts w:ascii="Times New Roman" w:hAnsi="Times New Roman" w:eastAsia="黑体" w:cs="Times New Roman"/>
          <w:b/>
          <w:sz w:val="28"/>
          <w:szCs w:val="20"/>
          <w:highlight w:val="none"/>
        </w:rPr>
        <w:outlineLvl w:val="1"/>
      </w:pPr>
      <w:r>
        <w:rPr>
          <w:rFonts w:hint="eastAsia" w:ascii="宋体" w:hAnsi="宋体" w:eastAsia="宋体" w:cs="Times New Roman"/>
          <w:sz w:val="24"/>
          <w:szCs w:val="24"/>
          <w:highlight w:val="none"/>
        </w:rPr>
        <w:t xml:space="preserve">格式5、残疾人福利性企业声明函</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残疾人福利性单位声明函</w:t>
      </w:r>
      <w:r/>
    </w:p>
    <w:p>
      <w:pPr>
        <w:jc w:val="left"/>
        <w:rPr>
          <w:rFonts w:ascii="MS Mincho" w:hAnsi="Calibri" w:eastAsia="宋体" w:cs="Times New Roman"/>
          <w:szCs w:val="24"/>
          <w:highlight w:val="none"/>
        </w:rPr>
      </w:pPr>
      <w:r>
        <w:rPr>
          <w:rFonts w:ascii="MS Mincho" w:hAnsi="Calibri" w:eastAsia="宋体" w:cs="Times New Roman"/>
          <w:szCs w:val="24"/>
          <w:highlight w:val="none"/>
        </w:rPr>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 </w:t>
      </w:r>
      <w:r>
        <w:rPr>
          <w:rFonts w:hint="eastAsia" w:ascii="宋体" w:hAnsi="宋体" w:eastAsia="宋体" w:cs="Times New Roman"/>
          <w:sz w:val="24"/>
          <w:szCs w:val="24"/>
          <w:highlight w:val="none"/>
          <w:u w:val="single"/>
        </w:rPr>
        <w:t xml:space="preserve">（货物名称）</w:t>
      </w:r>
      <w:r>
        <w:rPr>
          <w:rFonts w:hint="eastAsia" w:ascii="宋体" w:hAnsi="宋体" w:eastAsia="宋体" w:cs="Times New Roman"/>
          <w:sz w:val="24"/>
          <w:szCs w:val="24"/>
          <w:highlight w:val="none"/>
        </w:rPr>
        <w:t xml:space="preserve"> ，制造商为</w:t>
      </w:r>
      <w:r>
        <w:rPr>
          <w:rFonts w:hint="eastAsia" w:ascii="宋体" w:hAnsi="宋体" w:eastAsia="宋体" w:cs="Times New Roman"/>
          <w:sz w:val="24"/>
          <w:szCs w:val="24"/>
          <w:highlight w:val="none"/>
          <w:u w:val="single"/>
        </w:rPr>
        <w:t xml:space="preserve">　（企业名称）　</w:t>
      </w:r>
      <w:r>
        <w:rPr>
          <w:rFonts w:hint="eastAsia" w:ascii="宋体" w:hAnsi="宋体" w:eastAsia="宋体" w:cs="Times New Roman"/>
          <w:sz w:val="24"/>
          <w:szCs w:val="24"/>
          <w:highlight w:val="none"/>
        </w:rPr>
        <w:t xml:space="preserve">，属于残疾人福利性单位； </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 </w:t>
      </w:r>
      <w:r>
        <w:rPr>
          <w:rFonts w:hint="eastAsia" w:ascii="宋体" w:hAnsi="宋体" w:eastAsia="宋体" w:cs="Times New Roman"/>
          <w:sz w:val="24"/>
          <w:szCs w:val="24"/>
          <w:highlight w:val="none"/>
          <w:u w:val="single"/>
        </w:rPr>
        <w:t xml:space="preserve">（货物名称）</w:t>
      </w:r>
      <w:r>
        <w:rPr>
          <w:rFonts w:hint="eastAsia" w:ascii="宋体" w:hAnsi="宋体" w:eastAsia="宋体" w:cs="Times New Roman"/>
          <w:sz w:val="24"/>
          <w:szCs w:val="24"/>
          <w:highlight w:val="none"/>
        </w:rPr>
        <w:t xml:space="preserve"> ，制造商为</w:t>
      </w:r>
      <w:r>
        <w:rPr>
          <w:rFonts w:hint="eastAsia" w:ascii="宋体" w:hAnsi="宋体" w:eastAsia="宋体" w:cs="Times New Roman"/>
          <w:sz w:val="24"/>
          <w:szCs w:val="24"/>
          <w:highlight w:val="none"/>
          <w:u w:val="single"/>
        </w:rPr>
        <w:t xml:space="preserve">　（企业名称）　</w:t>
      </w:r>
      <w:r>
        <w:rPr>
          <w:rFonts w:hint="eastAsia" w:ascii="宋体" w:hAnsi="宋体" w:eastAsia="宋体" w:cs="Times New Roman"/>
          <w:sz w:val="24"/>
          <w:szCs w:val="24"/>
          <w:highlight w:val="none"/>
        </w:rPr>
        <w:t xml:space="preserve">，属于残疾人福利性单位；</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 </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本企业对上述声明内容的真实性负责。如有虚假，将依法承担相应责任。</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企业名称(盖章)：</w:t>
      </w:r>
      <w:r/>
    </w:p>
    <w:p>
      <w:pPr>
        <w:ind w:firstLine="480"/>
        <w:spacing w:line="588" w:lineRule="exact"/>
        <w:rPr>
          <w:rFonts w:ascii="Times New Roman" w:hAnsi="Times New Roman" w:eastAsia="宋体" w:cs="Times New Roman"/>
          <w:b/>
          <w:sz w:val="22"/>
          <w:szCs w:val="21"/>
          <w:highlight w:val="none"/>
        </w:rPr>
      </w:pPr>
      <w:r>
        <w:rPr>
          <w:rFonts w:hint="eastAsia" w:ascii="宋体" w:hAnsi="宋体" w:eastAsia="宋体" w:cs="Times New Roman"/>
          <w:sz w:val="24"/>
          <w:szCs w:val="24"/>
          <w:highlight w:val="none"/>
        </w:rPr>
        <w:t xml:space="preserve">　　　　　　　　　　　　　　　　　　日期：   年   月   日</w:t>
      </w:r>
      <w:r/>
    </w:p>
    <w:p>
      <w:pPr>
        <w:ind w:firstLine="442"/>
        <w:spacing w:line="360" w:lineRule="auto"/>
        <w:rPr>
          <w:rFonts w:ascii="Times New Roman" w:hAnsi="Times New Roman" w:eastAsia="宋体" w:cs="Times New Roman"/>
          <w:b/>
          <w:sz w:val="22"/>
          <w:szCs w:val="21"/>
          <w:highlight w:val="none"/>
        </w:rPr>
      </w:pPr>
      <w:r>
        <w:rPr>
          <w:rFonts w:ascii="Times New Roman" w:hAnsi="Times New Roman" w:eastAsia="宋体" w:cs="Times New Roman"/>
          <w:b/>
          <w:sz w:val="22"/>
          <w:szCs w:val="21"/>
          <w:highlight w:val="none"/>
        </w:rPr>
      </w:r>
      <w:r/>
    </w:p>
    <w:p>
      <w:pPr>
        <w:ind w:firstLine="442"/>
        <w:spacing w:line="360" w:lineRule="auto"/>
        <w:rPr>
          <w:rFonts w:ascii="Times New Roman" w:hAnsi="Times New Roman" w:eastAsia="宋体" w:cs="Times New Roman"/>
          <w:b/>
          <w:sz w:val="22"/>
          <w:szCs w:val="21"/>
          <w:highlight w:val="none"/>
        </w:rPr>
      </w:pPr>
      <w:r>
        <w:rPr>
          <w:rFonts w:ascii="Times New Roman" w:hAnsi="Times New Roman" w:eastAsia="宋体" w:cs="Times New Roman"/>
          <w:b/>
          <w:sz w:val="22"/>
          <w:szCs w:val="21"/>
          <w:highlight w:val="none"/>
        </w:rPr>
      </w:r>
      <w:r/>
    </w:p>
    <w:p>
      <w:pPr>
        <w:ind w:firstLine="442"/>
        <w:spacing w:line="360" w:lineRule="auto"/>
        <w:rPr>
          <w:rFonts w:ascii="Times New Roman" w:hAnsi="Times New Roman" w:eastAsia="宋体" w:cs="Times New Roman"/>
          <w:b/>
          <w:sz w:val="22"/>
          <w:szCs w:val="21"/>
          <w:highlight w:val="none"/>
        </w:rPr>
      </w:pPr>
      <w:r>
        <w:rPr>
          <w:rFonts w:ascii="Times New Roman" w:hAnsi="Times New Roman" w:eastAsia="宋体" w:cs="Times New Roman"/>
          <w:b/>
          <w:sz w:val="22"/>
          <w:szCs w:val="21"/>
          <w:highlight w:val="none"/>
        </w:rPr>
      </w:r>
      <w:r/>
    </w:p>
    <w:p>
      <w:pPr>
        <w:ind w:firstLine="442"/>
        <w:spacing w:line="360" w:lineRule="auto"/>
        <w:rPr>
          <w:rFonts w:ascii="Times New Roman" w:hAnsi="Times New Roman" w:eastAsia="宋体" w:cs="Times New Roman"/>
          <w:b/>
          <w:sz w:val="22"/>
          <w:szCs w:val="21"/>
          <w:highlight w:val="none"/>
        </w:rPr>
      </w:pPr>
      <w:r>
        <w:rPr>
          <w:rFonts w:ascii="Times New Roman" w:hAnsi="Times New Roman" w:eastAsia="宋体" w:cs="Times New Roman"/>
          <w:b/>
          <w:sz w:val="22"/>
          <w:szCs w:val="21"/>
          <w:highlight w:val="none"/>
        </w:rPr>
      </w:r>
      <w:r/>
    </w:p>
    <w:p>
      <w:pPr>
        <w:ind w:firstLine="442"/>
        <w:spacing w:line="360" w:lineRule="auto"/>
        <w:rPr>
          <w:rFonts w:ascii="Times New Roman" w:hAnsi="Times New Roman" w:eastAsia="宋体" w:cs="Times New Roman"/>
          <w:b/>
          <w:sz w:val="22"/>
          <w:szCs w:val="21"/>
          <w:highlight w:val="none"/>
        </w:rPr>
      </w:pPr>
      <w:r>
        <w:rPr>
          <w:rFonts w:ascii="Times New Roman" w:hAnsi="Times New Roman" w:eastAsia="宋体" w:cs="Times New Roman"/>
          <w:b/>
          <w:sz w:val="22"/>
          <w:szCs w:val="21"/>
          <w:highlight w:val="none"/>
        </w:rPr>
      </w:r>
      <w:r/>
    </w:p>
    <w:p>
      <w:pPr>
        <w:ind w:firstLine="442"/>
        <w:spacing w:line="360" w:lineRule="auto"/>
        <w:rPr>
          <w:rFonts w:ascii="Times New Roman" w:hAnsi="Times New Roman" w:eastAsia="宋体" w:cs="Times New Roman"/>
          <w:b/>
          <w:sz w:val="22"/>
          <w:szCs w:val="21"/>
          <w:highlight w:val="none"/>
        </w:rPr>
      </w:pPr>
      <w:r>
        <w:rPr>
          <w:rFonts w:ascii="Times New Roman" w:hAnsi="Times New Roman" w:eastAsia="宋体" w:cs="Times New Roman"/>
          <w:b/>
          <w:sz w:val="22"/>
          <w:szCs w:val="21"/>
          <w:highlight w:val="none"/>
        </w:rPr>
      </w:r>
      <w:r/>
    </w:p>
    <w:p>
      <w:pPr>
        <w:ind w:firstLine="48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1、请供应商如实填写，所填内容将作为评审的依据。</w:t>
      </w:r>
      <w:r>
        <w:rPr>
          <w:rFonts w:hint="eastAsia" w:ascii="宋体" w:hAnsi="宋体" w:eastAsia="宋体" w:cs="Times New Roman"/>
          <w:sz w:val="24"/>
          <w:szCs w:val="24"/>
          <w:highlight w:val="none"/>
        </w:rPr>
        <w:t xml:space="preserve">其内容填写须与分项报价表一致，如填写不完整或不一致，将不享受扶</w:t>
      </w:r>
      <w:r>
        <w:rPr>
          <w:rFonts w:hint="eastAsia" w:ascii="宋体" w:hAnsi="宋体" w:eastAsia="宋体" w:cs="Times New Roman"/>
          <w:bCs/>
          <w:sz w:val="24"/>
          <w:szCs w:val="24"/>
          <w:highlight w:val="none"/>
        </w:rPr>
        <w:t xml:space="preserve">持政策。</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2、中标供应商的《残疾人福利性单位声明函》随中标结果公开。</w:t>
      </w:r>
      <w:r/>
    </w:p>
    <w:p>
      <w:pPr>
        <w:keepNext/>
        <w:spacing w:line="360" w:lineRule="auto"/>
        <w:rPr>
          <w:rFonts w:ascii="Times New Roman" w:hAnsi="Times New Roman" w:eastAsia="黑体" w:cs="Times New Roman"/>
          <w:b/>
          <w:sz w:val="28"/>
          <w:szCs w:val="20"/>
          <w:highlight w:val="none"/>
        </w:rPr>
        <w:outlineLvl w:val="1"/>
      </w:pPr>
      <w:r>
        <w:rPr>
          <w:rFonts w:ascii="Times New Roman" w:hAnsi="Times New Roman" w:eastAsia="黑体" w:cs="Times New Roman"/>
          <w:b/>
          <w:sz w:val="28"/>
          <w:szCs w:val="20"/>
          <w:highlight w:val="none"/>
        </w:rPr>
        <w:br w:type="page" w:clear="all"/>
      </w:r>
      <w:r>
        <w:rPr>
          <w:rFonts w:hint="eastAsia" w:ascii="宋体" w:hAnsi="宋体" w:eastAsia="宋体" w:cs="Times New Roman"/>
          <w:sz w:val="24"/>
          <w:szCs w:val="24"/>
          <w:highlight w:val="none"/>
        </w:rPr>
        <w:t xml:space="preserve">格式6、具备履行合同所必需的设备和专业技术能力的声明及证明材料</w:t>
      </w:r>
      <w:r/>
    </w:p>
    <w:p>
      <w:pPr>
        <w:jc w:val="left"/>
        <w:rPr>
          <w:rFonts w:ascii="MS Mincho" w:hAnsi="Calibri" w:eastAsia="宋体" w:cs="Times New Roman"/>
          <w:szCs w:val="24"/>
          <w:highlight w:val="none"/>
        </w:rPr>
      </w:pPr>
      <w:r>
        <w:rPr>
          <w:rFonts w:ascii="MS Mincho" w:hAnsi="Calibri" w:eastAsia="宋体" w:cs="Times New Roman"/>
          <w:szCs w:val="24"/>
          <w:highlight w:val="none"/>
        </w:rPr>
      </w:r>
      <w:r/>
    </w:p>
    <w:p>
      <w:pPr>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u w:val="single"/>
        </w:rPr>
        <w:t xml:space="preserve">（供应商名称）</w:t>
      </w:r>
      <w:r>
        <w:rPr>
          <w:rFonts w:hint="eastAsia" w:ascii="Times New Roman" w:hAnsi="Times New Roman" w:eastAsia="宋体" w:cs="Times New Roman"/>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主要设备有：</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rPr>
        <w:t xml:space="preserve">。</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主要专业技术能力有：</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rPr>
        <w:t xml:space="preserve">。</w:t>
      </w:r>
      <w:r/>
    </w:p>
    <w:p>
      <w:pPr>
        <w:ind w:firstLine="482"/>
        <w:spacing w:line="360" w:lineRule="auto"/>
        <w:rPr>
          <w:rFonts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注：须附证明材料。</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540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声明人（盖章）：</w:t>
      </w:r>
      <w:r/>
    </w:p>
    <w:p>
      <w:pPr>
        <w:ind w:firstLine="540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日期：年月日</w:t>
      </w:r>
      <w:r/>
    </w:p>
    <w:p>
      <w:pPr>
        <w:ind w:firstLine="422"/>
        <w:spacing w:line="460" w:lineRule="exact"/>
        <w:rPr>
          <w:rFonts w:ascii="Times New Roman" w:hAnsi="Times New Roman" w:eastAsia="宋体" w:cs="Times New Roman"/>
          <w:b/>
          <w:szCs w:val="24"/>
          <w:highlight w:val="none"/>
        </w:rPr>
      </w:pPr>
      <w:r>
        <w:rPr>
          <w:rFonts w:ascii="Times New Roman" w:hAnsi="Times New Roman" w:eastAsia="宋体" w:cs="Times New Roman"/>
          <w:b/>
          <w:szCs w:val="24"/>
          <w:highlight w:val="none"/>
        </w:rPr>
      </w:r>
      <w:r/>
    </w:p>
    <w:p>
      <w:pPr>
        <w:ind w:firstLine="422"/>
        <w:spacing w:line="460" w:lineRule="exact"/>
        <w:rPr>
          <w:rFonts w:ascii="Times New Roman" w:hAnsi="Times New Roman" w:eastAsia="宋体" w:cs="Times New Roman"/>
          <w:b/>
          <w:szCs w:val="24"/>
          <w:highlight w:val="none"/>
        </w:rPr>
      </w:pPr>
      <w:r>
        <w:rPr>
          <w:rFonts w:ascii="Times New Roman" w:hAnsi="Times New Roman" w:eastAsia="宋体" w:cs="Times New Roman"/>
          <w:b/>
          <w:szCs w:val="24"/>
          <w:highlight w:val="none"/>
        </w:rPr>
      </w:r>
      <w:r/>
    </w:p>
    <w:p>
      <w:pPr>
        <w:ind w:firstLine="422"/>
        <w:spacing w:line="460" w:lineRule="exact"/>
        <w:rPr>
          <w:rFonts w:ascii="Times New Roman" w:hAnsi="Times New Roman" w:eastAsia="宋体" w:cs="Times New Roman"/>
          <w:b/>
          <w:szCs w:val="24"/>
          <w:highlight w:val="none"/>
        </w:rPr>
      </w:pPr>
      <w:r>
        <w:rPr>
          <w:rFonts w:ascii="Times New Roman" w:hAnsi="Times New Roman" w:eastAsia="宋体" w:cs="Times New Roman"/>
          <w:b/>
          <w:szCs w:val="24"/>
          <w:highlight w:val="none"/>
        </w:rPr>
      </w:r>
      <w:r/>
    </w:p>
    <w:p>
      <w:pPr>
        <w:ind w:firstLine="422"/>
        <w:spacing w:line="460" w:lineRule="exact"/>
        <w:rPr>
          <w:rFonts w:ascii="Times New Roman" w:hAnsi="Times New Roman" w:eastAsia="宋体" w:cs="Times New Roman"/>
          <w:b/>
          <w:szCs w:val="24"/>
          <w:highlight w:val="none"/>
        </w:rPr>
      </w:pPr>
      <w:r>
        <w:rPr>
          <w:rFonts w:ascii="Times New Roman" w:hAnsi="Times New Roman" w:eastAsia="宋体" w:cs="Times New Roman"/>
          <w:b/>
          <w:szCs w:val="24"/>
          <w:highlight w:val="none"/>
        </w:rPr>
      </w:r>
      <w:r/>
    </w:p>
    <w:p>
      <w:pPr>
        <w:keepNext/>
        <w:spacing w:line="360" w:lineRule="auto"/>
        <w:rPr>
          <w:rFonts w:ascii="Times New Roman" w:hAnsi="Times New Roman" w:eastAsia="黑体" w:cs="Times New Roman"/>
          <w:b/>
          <w:sz w:val="28"/>
          <w:szCs w:val="20"/>
          <w:highlight w:val="none"/>
        </w:rPr>
        <w:outlineLvl w:val="1"/>
      </w:pPr>
      <w:r>
        <w:rPr>
          <w:rFonts w:ascii="Times New Roman" w:hAnsi="Times New Roman" w:eastAsia="黑体" w:cs="Times New Roman"/>
          <w:sz w:val="28"/>
          <w:szCs w:val="20"/>
          <w:highlight w:val="none"/>
        </w:rPr>
        <w:br w:type="page" w:clear="all"/>
      </w:r>
      <w:r>
        <w:rPr>
          <w:rFonts w:hint="eastAsia" w:ascii="宋体" w:hAnsi="宋体" w:eastAsia="宋体" w:cs="Times New Roman"/>
          <w:sz w:val="24"/>
          <w:szCs w:val="24"/>
          <w:highlight w:val="none"/>
        </w:rPr>
        <w:t xml:space="preserve">格式7、参加政府采购活动前 3 年内在经营活动中没有重大违法记录的书面声明</w:t>
      </w:r>
      <w:r/>
    </w:p>
    <w:p>
      <w:pPr>
        <w:ind w:firstLine="420"/>
        <w:spacing w:line="36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声  明</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投标人（盖章）：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日期：年月日</w:t>
      </w:r>
      <w:r/>
    </w:p>
    <w:p>
      <w:pPr>
        <w:keepNext/>
        <w:spacing w:line="360" w:lineRule="auto"/>
        <w:rPr>
          <w:rFonts w:ascii="Times New Roman" w:hAnsi="Times New Roman" w:eastAsia="宋体" w:cs="Times New Roman"/>
          <w:b/>
          <w:sz w:val="28"/>
          <w:szCs w:val="20"/>
          <w:highlight w:val="none"/>
        </w:rPr>
        <w:outlineLvl w:val="1"/>
      </w:pPr>
      <w:r>
        <w:rPr>
          <w:rFonts w:ascii="Times New Roman" w:hAnsi="Times New Roman" w:eastAsia="黑体" w:cs="Times New Roman"/>
          <w:b/>
          <w:sz w:val="28"/>
          <w:szCs w:val="20"/>
          <w:highlight w:val="none"/>
        </w:rPr>
        <w:br w:type="page" w:clear="all"/>
      </w:r>
      <w:r>
        <w:rPr>
          <w:rFonts w:hint="eastAsia" w:ascii="宋体" w:hAnsi="宋体" w:eastAsia="宋体" w:cs="Times New Roman"/>
          <w:sz w:val="24"/>
          <w:szCs w:val="24"/>
          <w:highlight w:val="none"/>
        </w:rPr>
        <w:t xml:space="preserve">格式8、法定代表人授权委托书</w:t>
      </w:r>
      <w:r/>
    </w:p>
    <w:p>
      <w:pPr>
        <w:ind w:firstLine="720"/>
        <w:jc w:val="center"/>
        <w:spacing w:line="360" w:lineRule="auto"/>
        <w:rPr>
          <w:rFonts w:ascii="黑体" w:hAnsi="黑体" w:eastAsia="黑体" w:cs="宋体"/>
          <w:bCs/>
          <w:sz w:val="36"/>
          <w:szCs w:val="28"/>
          <w:highlight w:val="none"/>
        </w:rPr>
      </w:pPr>
      <w:r>
        <w:rPr>
          <w:rFonts w:ascii="黑体" w:hAnsi="黑体" w:eastAsia="黑体" w:cs="宋体"/>
          <w:bCs/>
          <w:sz w:val="36"/>
          <w:szCs w:val="28"/>
          <w:highlight w:val="none"/>
        </w:rPr>
      </w:r>
      <w:r/>
    </w:p>
    <w:p>
      <w:pPr>
        <w:ind w:firstLine="720"/>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法定代表人授权委托书</w:t>
      </w:r>
      <w:r/>
    </w:p>
    <w:p>
      <w:pPr>
        <w:ind w:firstLine="420"/>
        <w:spacing w:line="500" w:lineRule="exact"/>
        <w:rPr>
          <w:rFonts w:ascii="宋体" w:hAnsi="Courier New" w:eastAsia="宋体" w:cs="Times New Roman"/>
          <w:szCs w:val="20"/>
          <w:highlight w:val="none"/>
        </w:rPr>
      </w:pPr>
      <w:r>
        <w:rPr>
          <w:rFonts w:ascii="宋体" w:hAnsi="Courier New" w:eastAsia="宋体" w:cs="Times New Roman"/>
          <w:szCs w:val="20"/>
          <w:highlight w:val="none"/>
        </w:rPr>
      </w:r>
      <w:r/>
    </w:p>
    <w:p>
      <w:pPr>
        <w:rPr>
          <w:rFonts w:ascii="宋体" w:hAnsi="宋体" w:eastAsia="宋体" w:cs="Times New Roman"/>
          <w:sz w:val="24"/>
          <w:szCs w:val="20"/>
          <w:highlight w:val="none"/>
        </w:rPr>
      </w:pPr>
      <w:r>
        <w:rPr>
          <w:rFonts w:hint="eastAsia" w:ascii="宋体" w:hAnsi="宋体" w:eastAsia="宋体" w:cs="Times New Roman"/>
          <w:sz w:val="24"/>
          <w:szCs w:val="24"/>
          <w:highlight w:val="none"/>
        </w:rPr>
        <w:t xml:space="preserve">致：</w:t>
      </w:r>
      <w:r>
        <w:rPr>
          <w:rFonts w:hint="eastAsia" w:ascii="Calibri" w:hAnsi="Calibri" w:eastAsia="宋体" w:cs="Times New Roman"/>
          <w:i/>
          <w:sz w:val="24"/>
          <w:szCs w:val="24"/>
          <w:highlight w:val="none"/>
          <w:u w:val="single"/>
        </w:rPr>
        <w:t xml:space="preserve">采购单位</w:t>
      </w:r>
      <w:r/>
    </w:p>
    <w:p>
      <w:pPr>
        <w:ind w:firstLine="420"/>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本人</w:t>
      </w:r>
      <w:r>
        <w:rPr>
          <w:rFonts w:hint="eastAsia" w:ascii="宋体" w:hAnsi="宋体" w:eastAsia="宋体" w:cs="Times New Roman"/>
          <w:sz w:val="24"/>
          <w:szCs w:val="24"/>
          <w:highlight w:val="none"/>
          <w:lang w:val="zh-CN"/>
        </w:rPr>
        <w:t xml:space="preserve">_______</w:t>
      </w:r>
      <w:r>
        <w:rPr>
          <w:rFonts w:hint="eastAsia" w:ascii="宋体" w:hAnsi="宋体" w:eastAsia="宋体" w:cs="Times New Roman"/>
          <w:sz w:val="24"/>
          <w:szCs w:val="20"/>
          <w:highlight w:val="none"/>
        </w:rPr>
        <w:t xml:space="preserve">（姓名）系</w:t>
      </w:r>
      <w:r>
        <w:rPr>
          <w:rFonts w:hint="eastAsia" w:ascii="宋体" w:hAnsi="宋体" w:eastAsia="宋体" w:cs="Times New Roman"/>
          <w:sz w:val="24"/>
          <w:szCs w:val="24"/>
          <w:highlight w:val="none"/>
          <w:lang w:val="zh-CN"/>
        </w:rPr>
        <w:t xml:space="preserve">________________</w:t>
      </w:r>
      <w:r>
        <w:rPr>
          <w:rFonts w:hint="eastAsia" w:ascii="宋体" w:hAnsi="宋体" w:eastAsia="宋体" w:cs="Times New Roman"/>
          <w:sz w:val="24"/>
          <w:szCs w:val="20"/>
          <w:highlight w:val="none"/>
        </w:rPr>
        <w:t xml:space="preserve">（投标人名称）的法定代表人（单位负责人），现委托</w:t>
      </w:r>
      <w:r>
        <w:rPr>
          <w:rFonts w:hint="eastAsia" w:ascii="宋体" w:hAnsi="宋体" w:eastAsia="宋体" w:cs="Times New Roman"/>
          <w:sz w:val="24"/>
          <w:szCs w:val="24"/>
          <w:highlight w:val="none"/>
          <w:lang w:val="zh-CN"/>
        </w:rPr>
        <w:t xml:space="preserve">_______</w:t>
      </w:r>
      <w:r>
        <w:rPr>
          <w:rFonts w:hint="eastAsia" w:ascii="宋体" w:hAnsi="宋体" w:eastAsia="宋体" w:cs="Times New Roman"/>
          <w:sz w:val="24"/>
          <w:szCs w:val="20"/>
          <w:highlight w:val="none"/>
        </w:rPr>
        <w:t xml:space="preserve">（姓名）为我方代理人。代理人根据授权，以我方名义签署、澄清确认、递交、撤回、修改</w:t>
      </w:r>
      <w:r>
        <w:rPr>
          <w:rFonts w:hint="eastAsia" w:ascii="Calibri" w:hAnsi="Calibri" w:eastAsia="宋体" w:cs="Times New Roman"/>
          <w:i/>
          <w:sz w:val="24"/>
          <w:szCs w:val="24"/>
          <w:highlight w:val="none"/>
          <w:u w:val="single"/>
        </w:rPr>
        <w:t xml:space="preserve">标段名称</w:t>
      </w:r>
      <w:r>
        <w:rPr>
          <w:rFonts w:hint="eastAsia" w:ascii="Calibri" w:hAnsi="Calibri" w:eastAsia="宋体" w:cs="Times New Roman"/>
          <w:sz w:val="24"/>
          <w:szCs w:val="24"/>
          <w:highlight w:val="none"/>
        </w:rPr>
        <w:t xml:space="preserve">项目（标段编号：</w:t>
      </w:r>
      <w:r>
        <w:rPr>
          <w:rFonts w:hint="eastAsia" w:ascii="Calibri" w:hAnsi="宋体" w:eastAsia="宋体" w:cs="Times New Roman"/>
          <w:i/>
          <w:sz w:val="24"/>
          <w:szCs w:val="24"/>
          <w:highlight w:val="none"/>
          <w:u w:val="single"/>
        </w:rPr>
        <w:t xml:space="preserve">标段编号</w:t>
      </w:r>
      <w:r>
        <w:rPr>
          <w:rFonts w:hint="eastAsia" w:ascii="Calibri" w:hAnsi="Calibri" w:eastAsia="宋体" w:cs="Times New Roman"/>
          <w:sz w:val="24"/>
          <w:szCs w:val="24"/>
          <w:highlight w:val="none"/>
        </w:rPr>
        <w:t xml:space="preserve">）</w:t>
      </w:r>
      <w:r>
        <w:rPr>
          <w:rFonts w:hint="eastAsia" w:ascii="宋体" w:hAnsi="宋体" w:eastAsia="宋体" w:cs="Times New Roman"/>
          <w:sz w:val="24"/>
          <w:szCs w:val="20"/>
          <w:highlight w:val="none"/>
        </w:rPr>
        <w:t xml:space="preserve">投标文件和处理有关事宜，其法律后果由我方承担。</w:t>
      </w:r>
      <w:r/>
    </w:p>
    <w:p>
      <w:pPr>
        <w:ind w:firstLine="420"/>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委托期限：自本授权委托书签署之日起至响应有效期届满之日止。</w:t>
      </w:r>
      <w:r/>
    </w:p>
    <w:p>
      <w:pPr>
        <w:ind w:firstLine="420"/>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代理人无转委托权。</w:t>
      </w:r>
      <w:r/>
    </w:p>
    <w:p>
      <w:pPr>
        <w:ind w:firstLine="420"/>
        <w:rPr>
          <w:rFonts w:ascii="宋体" w:hAnsi="宋体" w:eastAsia="宋体" w:cs="Times New Roman"/>
          <w:sz w:val="24"/>
          <w:szCs w:val="20"/>
          <w:highlight w:val="none"/>
        </w:rPr>
      </w:pPr>
      <w:r>
        <w:rPr>
          <w:rFonts w:ascii="宋体" w:hAnsi="宋体" w:eastAsia="宋体" w:cs="Times New Roman"/>
          <w:sz w:val="24"/>
          <w:szCs w:val="20"/>
          <w:highlight w:val="none"/>
        </w:rPr>
      </w:r>
      <w:r/>
    </w:p>
    <w:p>
      <w:pPr>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rPr>
        <w:t xml:space="preserve">投标人名称（加盖公章）</w:t>
      </w:r>
      <w:r>
        <w:rPr>
          <w:rFonts w:hint="eastAsia" w:ascii="宋体" w:hAnsi="宋体" w:eastAsia="宋体" w:cs="Times New Roman"/>
          <w:sz w:val="24"/>
          <w:szCs w:val="24"/>
          <w:highlight w:val="none"/>
          <w:lang w:val="zh-CN"/>
        </w:rPr>
        <w:t xml:space="preserve">：________________</w:t>
      </w:r>
      <w:r/>
    </w:p>
    <w:p>
      <w:pPr>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法定代表人（单位负责人）（签字、签章或印鉴）：</w:t>
      </w:r>
      <w:r>
        <w:rPr>
          <w:rFonts w:hint="eastAsia" w:ascii="宋体" w:hAnsi="宋体" w:eastAsia="宋体" w:cs="Times New Roman"/>
          <w:sz w:val="24"/>
          <w:szCs w:val="24"/>
          <w:highlight w:val="none"/>
          <w:lang w:val="zh-CN"/>
        </w:rPr>
        <w:t xml:space="preserve">________________</w:t>
      </w:r>
      <w:r/>
    </w:p>
    <w:p>
      <w:pPr>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rPr>
        <w:t xml:space="preserve">委托代理人（签字/签章）：</w:t>
      </w:r>
      <w:r>
        <w:rPr>
          <w:rFonts w:hint="eastAsia" w:ascii="宋体" w:hAnsi="宋体" w:eastAsia="宋体" w:cs="Times New Roman"/>
          <w:sz w:val="24"/>
          <w:szCs w:val="24"/>
          <w:highlight w:val="none"/>
          <w:lang w:val="zh-CN"/>
        </w:rPr>
        <w:t xml:space="preserve">________________</w:t>
      </w:r>
      <w:r/>
    </w:p>
    <w:p>
      <w:pPr>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rPr>
        <w:t xml:space="preserve">日期：_____年______月______日</w:t>
      </w:r>
      <w:r/>
    </w:p>
    <w:p>
      <w:pPr>
        <w:ind w:firstLine="480"/>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tabs>
          <w:tab w:val="left" w:pos="5580" w:leader="none"/>
        </w:tabs>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法定代表人（单位负责人）有效期内的身份证</w:t>
      </w:r>
      <w:r>
        <w:rPr>
          <w:rFonts w:hint="eastAsia" w:ascii="宋体" w:hAnsi="宋体" w:eastAsia="宋体" w:cs="Times New Roman"/>
          <w:b/>
          <w:sz w:val="24"/>
          <w:szCs w:val="20"/>
          <w:highlight w:val="none"/>
        </w:rPr>
        <w:t xml:space="preserve">正反面</w:t>
      </w:r>
      <w:r>
        <w:rPr>
          <w:rFonts w:hint="eastAsia" w:ascii="宋体" w:hAnsi="宋体" w:eastAsia="宋体" w:cs="Times New Roman"/>
          <w:sz w:val="24"/>
          <w:szCs w:val="20"/>
          <w:highlight w:val="none"/>
        </w:rPr>
        <w:t xml:space="preserve">电子件：</w:t>
      </w:r>
      <w:r/>
    </w:p>
    <w:tbl>
      <w:tblPr>
        <w:tblStyle w:val="888"/>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tc>
      </w:tr>
    </w:tbl>
    <w:p>
      <w:pPr>
        <w:jc w:val="left"/>
        <w:tabs>
          <w:tab w:val="left" w:pos="5580" w:leader="none"/>
        </w:tabs>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委托代理人有效期内的身份证</w:t>
      </w:r>
      <w:r>
        <w:rPr>
          <w:rFonts w:hint="eastAsia" w:ascii="宋体" w:hAnsi="宋体" w:eastAsia="宋体" w:cs="Times New Roman"/>
          <w:b/>
          <w:sz w:val="24"/>
          <w:szCs w:val="20"/>
          <w:highlight w:val="none"/>
        </w:rPr>
        <w:t xml:space="preserve">正反面</w:t>
      </w:r>
      <w:r>
        <w:rPr>
          <w:rFonts w:hint="eastAsia" w:ascii="宋体" w:hAnsi="宋体" w:eastAsia="宋体" w:cs="Times New Roman"/>
          <w:sz w:val="24"/>
          <w:szCs w:val="20"/>
          <w:highlight w:val="none"/>
        </w:rPr>
        <w:t xml:space="preserve">电子件：</w:t>
      </w:r>
      <w:r/>
    </w:p>
    <w:tbl>
      <w:tblPr>
        <w:tblStyle w:val="888"/>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tc>
      </w:tr>
    </w:tbl>
    <w:p>
      <w:pPr>
        <w:jc w:val="left"/>
        <w:tabs>
          <w:tab w:val="left" w:pos="5580" w:leader="none"/>
        </w:tabs>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说明：</w:t>
      </w:r>
      <w:r/>
    </w:p>
    <w:p>
      <w:pPr>
        <w:jc w:val="left"/>
        <w:tabs>
          <w:tab w:val="left" w:pos="5580" w:leader="none"/>
        </w:tabs>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2.若投标文件中签字之处均为法定代表人（单位负责人）本人签署，则可不提供本《授权委托书》，但须提供《法定代表人（单位负责人）身份证明》。</w:t>
      </w:r>
      <w:r/>
    </w:p>
    <w:p>
      <w:pPr>
        <w:ind w:firstLine="480"/>
        <w:spacing w:line="360" w:lineRule="auto"/>
        <w:rPr>
          <w:rFonts w:ascii="Times New Roman" w:hAnsi="Times New Roman" w:eastAsia="宋体" w:cs="Times New Roman"/>
          <w:sz w:val="24"/>
          <w:szCs w:val="24"/>
          <w:highlight w:val="none"/>
        </w:rPr>
      </w:pPr>
      <w:r>
        <w:rPr>
          <w:rFonts w:hint="eastAsia" w:ascii="宋体" w:hAnsi="宋体" w:eastAsia="宋体" w:cs="Times New Roman"/>
          <w:sz w:val="24"/>
          <w:szCs w:val="20"/>
          <w:highlight w:val="none"/>
        </w:rPr>
        <w:t xml:space="preserve">3.供应商为自然人的情形，可不提供本《授权委托书》。</w:t>
      </w:r>
      <w:r/>
    </w:p>
    <w:p>
      <w:pPr>
        <w:keepNext/>
        <w:spacing w:line="360" w:lineRule="auto"/>
        <w:rPr>
          <w:rFonts w:ascii="Times New Roman" w:hAnsi="Times New Roman" w:eastAsia="黑体" w:cs="Times New Roman"/>
          <w:bCs/>
          <w:sz w:val="32"/>
          <w:szCs w:val="21"/>
          <w:highlight w:val="none"/>
        </w:rPr>
        <w:outlineLvl w:val="1"/>
      </w:pPr>
      <w:r>
        <w:rPr>
          <w:rFonts w:hint="eastAsia" w:ascii="Times New Roman" w:hAnsi="Times New Roman" w:eastAsia="黑体" w:cs="Times New Roman"/>
          <w:b/>
          <w:sz w:val="28"/>
          <w:szCs w:val="20"/>
          <w:highlight w:val="none"/>
        </w:rPr>
        <w:br w:type="page" w:clear="all"/>
      </w:r>
      <w:r>
        <w:rPr>
          <w:rFonts w:hint="eastAsia" w:ascii="宋体" w:hAnsi="宋体" w:eastAsia="宋体" w:cs="Times New Roman"/>
          <w:sz w:val="24"/>
          <w:szCs w:val="24"/>
          <w:highlight w:val="none"/>
        </w:rPr>
        <w:t xml:space="preserve">格式9、商务条款偏离表</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商务条款偏离表</w:t>
      </w:r>
      <w:r/>
    </w:p>
    <w:p>
      <w:pPr>
        <w:ind w:firstLine="480"/>
        <w:spacing w:line="360" w:lineRule="auto"/>
        <w:rPr>
          <w:rFonts w:ascii="宋体" w:hAnsi="宋体" w:eastAsia="宋体" w:cs="Times New Roman"/>
          <w:b/>
          <w:bCs/>
          <w:sz w:val="24"/>
          <w:szCs w:val="24"/>
          <w:highlight w:val="none"/>
        </w:rPr>
      </w:pPr>
      <w:r>
        <w:rPr>
          <w:rFonts w:hint="eastAsia" w:ascii="宋体" w:hAnsi="宋体" w:eastAsia="宋体" w:cs="Times New Roman"/>
          <w:sz w:val="24"/>
          <w:szCs w:val="24"/>
          <w:highlight w:val="none"/>
        </w:rPr>
        <w:t xml:space="preserve">请逐条对应招标文件“项目需求”等内容要求的商务条件，填写该表。</w:t>
      </w:r>
      <w:r/>
    </w:p>
    <w:tbl>
      <w:tblPr>
        <w:tblStyle w:val="888"/>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091"/>
        <w:gridCol w:w="1559"/>
        <w:gridCol w:w="1938"/>
        <w:gridCol w:w="2031"/>
        <w:gridCol w:w="1655"/>
      </w:tblGrid>
      <w:tr>
        <w:trPr>
          <w:jc w:val="center"/>
        </w:trPr>
        <w:tc>
          <w:tcPr>
            <w:tcW w:w="623" w:type="dxa"/>
            <w:vAlign w:val="center"/>
            <w:textDirection w:val="lrTb"/>
            <w:noWrap w:val="false"/>
          </w:tcPr>
          <w:p>
            <w:pPr>
              <w:jc w:val="center"/>
              <w:spacing w:line="4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序号</w:t>
            </w:r>
            <w:r/>
          </w:p>
        </w:tc>
        <w:tc>
          <w:tcPr>
            <w:tcW w:w="1091" w:type="dxa"/>
            <w:vAlign w:val="center"/>
            <w:textDirection w:val="lrTb"/>
            <w:noWrap w:val="false"/>
          </w:tcPr>
          <w:p>
            <w:pPr>
              <w:jc w:val="center"/>
              <w:spacing w:line="4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条款</w:t>
            </w:r>
            <w:r/>
          </w:p>
        </w:tc>
        <w:tc>
          <w:tcPr>
            <w:tcW w:w="1559" w:type="dxa"/>
            <w:vAlign w:val="center"/>
            <w:textDirection w:val="lrTb"/>
            <w:noWrap w:val="false"/>
          </w:tcPr>
          <w:p>
            <w:pPr>
              <w:jc w:val="center"/>
              <w:spacing w:line="4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采购请求</w:t>
            </w:r>
            <w:r/>
          </w:p>
        </w:tc>
        <w:tc>
          <w:tcPr>
            <w:tcW w:w="1938" w:type="dxa"/>
            <w:vAlign w:val="center"/>
            <w:textDirection w:val="lrTb"/>
            <w:noWrap w:val="false"/>
          </w:tcPr>
          <w:p>
            <w:pPr>
              <w:jc w:val="center"/>
              <w:spacing w:line="4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投标响应请求</w:t>
            </w:r>
            <w:r/>
          </w:p>
        </w:tc>
        <w:tc>
          <w:tcPr>
            <w:tcW w:w="2031" w:type="dxa"/>
            <w:vAlign w:val="center"/>
            <w:textDirection w:val="lrTb"/>
            <w:noWrap w:val="false"/>
          </w:tcPr>
          <w:p>
            <w:pPr>
              <w:jc w:val="center"/>
              <w:spacing w:line="4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偏离情况</w:t>
            </w:r>
            <w:r/>
          </w:p>
        </w:tc>
        <w:tc>
          <w:tcPr>
            <w:tcW w:w="1655" w:type="dxa"/>
            <w:vAlign w:val="center"/>
            <w:textDirection w:val="lrTb"/>
            <w:noWrap w:val="false"/>
          </w:tcPr>
          <w:p>
            <w:pPr>
              <w:jc w:val="center"/>
              <w:spacing w:line="4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偏离说明</w:t>
            </w:r>
            <w:r/>
          </w:p>
        </w:tc>
      </w:tr>
      <w:tr>
        <w:trPr>
          <w:jc w:val="center"/>
        </w:trPr>
        <w:tc>
          <w:tcPr>
            <w:tcW w:w="623" w:type="dxa"/>
            <w:textDirection w:val="lrTb"/>
            <w:noWrap w:val="false"/>
          </w:tcPr>
          <w:p>
            <w:pPr>
              <w:jc w:val="center"/>
              <w:spacing w:line="4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w:t>
            </w:r>
            <w:r/>
          </w:p>
        </w:tc>
        <w:tc>
          <w:tcPr>
            <w:tcW w:w="1091"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p>
        </w:tc>
        <w:tc>
          <w:tcPr>
            <w:tcW w:w="1091"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w:t>
            </w:r>
            <w:r/>
          </w:p>
        </w:tc>
        <w:tc>
          <w:tcPr>
            <w:tcW w:w="1091"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w:t>
            </w:r>
            <w:r/>
          </w:p>
        </w:tc>
        <w:tc>
          <w:tcPr>
            <w:tcW w:w="1091"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w:t>
            </w:r>
            <w:r/>
          </w:p>
        </w:tc>
        <w:tc>
          <w:tcPr>
            <w:tcW w:w="1091"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sz w:val="24"/>
                <w:szCs w:val="24"/>
                <w:highlight w:val="none"/>
                <w:lang w:val="zh-CN"/>
              </w:rPr>
            </w:pPr>
            <w:r>
              <w:rPr>
                <w:rFonts w:cs="宋体" w:asciiTheme="minorEastAsia" w:hAnsiTheme="minorEastAsia"/>
                <w:bCs/>
                <w:sz w:val="24"/>
                <w:szCs w:val="24"/>
                <w:highlight w:val="none"/>
                <w:lang w:val="zh-CN"/>
              </w:rPr>
            </w:r>
            <w:r/>
          </w:p>
        </w:tc>
      </w:tr>
    </w:tbl>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投标人（盖章）：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法定代表人或委托代理人（签字或盖章）：</w:t>
      </w:r>
      <w:r/>
    </w:p>
    <w:p>
      <w:pPr>
        <w:ind w:firstLine="480"/>
        <w:spacing w:line="360" w:lineRule="auto"/>
        <w:rPr>
          <w:rFonts w:ascii="宋体" w:hAnsi="宋体" w:eastAsia="宋体" w:cs="Times New Roman"/>
          <w:sz w:val="24"/>
          <w:szCs w:val="24"/>
          <w:highlight w:val="none"/>
        </w:rPr>
      </w:pPr>
      <w:r>
        <w:rPr>
          <w:rFonts w:hint="eastAsia" w:ascii="宋体" w:hAnsi="Courier New" w:eastAsia="宋体" w:cs="Times New Roman"/>
          <w:sz w:val="24"/>
          <w:szCs w:val="24"/>
          <w:highlight w:val="none"/>
        </w:rPr>
        <w:t xml:space="preserve">日期：    年     月     日</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ascii="宋体" w:hAnsi="宋体" w:eastAsia="宋体" w:cs="Times New Roman"/>
          <w:szCs w:val="20"/>
          <w:highlight w:val="none"/>
        </w:rPr>
      </w:pPr>
      <w:r>
        <w:rPr>
          <w:rFonts w:ascii="宋体" w:hAnsi="宋体" w:eastAsia="宋体" w:cs="Times New Roman"/>
          <w:szCs w:val="20"/>
          <w:highlight w:val="none"/>
        </w:rPr>
      </w:r>
      <w:r/>
    </w:p>
    <w:p>
      <w:pPr>
        <w:jc w:val="left"/>
        <w:widowControl/>
        <w:rPr>
          <w:rFonts w:ascii="Times New Roman" w:hAnsi="Times New Roman" w:eastAsia="黑体" w:cs="Times New Roman"/>
          <w:b/>
          <w:sz w:val="28"/>
          <w:szCs w:val="20"/>
          <w:highlight w:val="none"/>
        </w:rPr>
      </w:pPr>
      <w:r>
        <w:rPr>
          <w:rFonts w:ascii="Times New Roman" w:hAnsi="Times New Roman" w:eastAsia="黑体" w:cs="Times New Roman"/>
          <w:b/>
          <w:sz w:val="28"/>
          <w:szCs w:val="20"/>
          <w:highlight w:val="none"/>
        </w:rPr>
        <w:br w:type="page" w:clear="all"/>
      </w:r>
      <w:r/>
    </w:p>
    <w:p>
      <w:pPr>
        <w:jc w:val="left"/>
        <w:keepNext/>
        <w:spacing w:line="360" w:lineRule="auto"/>
        <w:rPr>
          <w:rFonts w:ascii="黑体" w:hAnsi="黑体" w:eastAsia="黑体" w:cs="宋体"/>
          <w:bCs/>
          <w:sz w:val="36"/>
          <w:szCs w:val="28"/>
          <w:highlight w:val="none"/>
        </w:rPr>
        <w:outlineLvl w:val="1"/>
      </w:pPr>
      <w:r>
        <w:rPr>
          <w:rFonts w:hint="eastAsia" w:ascii="宋体" w:hAnsi="宋体" w:eastAsia="宋体" w:cs="Times New Roman"/>
          <w:sz w:val="24"/>
          <w:szCs w:val="24"/>
          <w:highlight w:val="none"/>
        </w:rPr>
        <w:t xml:space="preserve">格式10、技术参数偏离表</w:t>
      </w:r>
      <w:r/>
    </w:p>
    <w:p>
      <w:pPr>
        <w:jc w:val="center"/>
        <w:rPr>
          <w:rFonts w:ascii="黑体" w:hAnsi="黑体" w:eastAsia="黑体" w:cs="宋体"/>
          <w:bCs/>
          <w:sz w:val="36"/>
          <w:szCs w:val="28"/>
          <w:highlight w:val="none"/>
        </w:rPr>
      </w:pPr>
      <w:r>
        <w:rPr>
          <w:rFonts w:ascii="黑体" w:hAnsi="黑体" w:eastAsia="黑体" w:cs="宋体"/>
          <w:bCs/>
          <w:sz w:val="36"/>
          <w:szCs w:val="28"/>
          <w:highlight w:val="none"/>
        </w:rPr>
        <w:t xml:space="preserve">技术参数</w:t>
      </w:r>
      <w:r>
        <w:rPr>
          <w:rFonts w:hint="eastAsia" w:ascii="黑体" w:hAnsi="黑体" w:eastAsia="黑体" w:cs="宋体"/>
          <w:bCs/>
          <w:sz w:val="36"/>
          <w:szCs w:val="28"/>
          <w:highlight w:val="none"/>
        </w:rPr>
        <w:t xml:space="preserve">偏离表</w:t>
      </w:r>
      <w:r/>
    </w:p>
    <w:tbl>
      <w:tblPr>
        <w:tblStyle w:val="888"/>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7"/>
        <w:gridCol w:w="2091"/>
        <w:gridCol w:w="2349"/>
        <w:gridCol w:w="1845"/>
        <w:gridCol w:w="2312"/>
      </w:tblGrid>
      <w:tr>
        <w:trPr>
          <w:jc w:val="center"/>
        </w:trPr>
        <w:tc>
          <w:tcPr>
            <w:tcW w:w="1257" w:type="dxa"/>
            <w:vAlign w:val="center"/>
            <w:textDirection w:val="lrTb"/>
            <w:noWrap w:val="false"/>
          </w:tcPr>
          <w:p>
            <w:pPr>
              <w:jc w:val="center"/>
              <w:spacing w:line="400" w:lineRule="exact"/>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序号</w:t>
            </w:r>
            <w:r/>
          </w:p>
        </w:tc>
        <w:tc>
          <w:tcPr>
            <w:tcW w:w="2091" w:type="dxa"/>
            <w:vAlign w:val="center"/>
            <w:textDirection w:val="lrTb"/>
            <w:noWrap w:val="false"/>
          </w:tcPr>
          <w:p>
            <w:pPr>
              <w:jc w:val="center"/>
              <w:spacing w:line="400" w:lineRule="exact"/>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技术参数要求（逐条填写）</w:t>
            </w:r>
            <w:r/>
          </w:p>
        </w:tc>
        <w:tc>
          <w:tcPr>
            <w:tcW w:w="2349" w:type="dxa"/>
            <w:vAlign w:val="center"/>
            <w:textDirection w:val="lrTb"/>
            <w:noWrap w:val="false"/>
          </w:tcPr>
          <w:p>
            <w:pPr>
              <w:jc w:val="left"/>
              <w:spacing w:line="400" w:lineRule="exact"/>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投标实际参数</w:t>
            </w:r>
            <w:r>
              <w:rPr>
                <w:rFonts w:hint="eastAsia" w:cs="Times New Roman" w:asciiTheme="minorEastAsia" w:hAnsiTheme="minorEastAsia"/>
                <w:bCs/>
                <w:sz w:val="24"/>
                <w:szCs w:val="24"/>
                <w:highlight w:val="none"/>
              </w:rPr>
              <w:t xml:space="preserve">(投标人应按投标实际数据填写，不能照抄招标要求)</w:t>
            </w:r>
            <w:r/>
          </w:p>
        </w:tc>
        <w:tc>
          <w:tcPr>
            <w:tcW w:w="1845" w:type="dxa"/>
            <w:vAlign w:val="center"/>
            <w:textDirection w:val="lrTb"/>
            <w:noWrap w:val="false"/>
          </w:tcPr>
          <w:p>
            <w:pPr>
              <w:jc w:val="center"/>
              <w:spacing w:line="400" w:lineRule="exact"/>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是否偏离</w:t>
            </w:r>
            <w:r/>
          </w:p>
          <w:p>
            <w:pPr>
              <w:jc w:val="center"/>
              <w:spacing w:line="400" w:lineRule="exact"/>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（无偏离/正偏离/负偏离）</w:t>
            </w:r>
            <w:r/>
          </w:p>
        </w:tc>
        <w:tc>
          <w:tcPr>
            <w:tcW w:w="2312" w:type="dxa"/>
            <w:vAlign w:val="center"/>
            <w:textDirection w:val="lrTb"/>
            <w:noWrap w:val="false"/>
          </w:tcPr>
          <w:p>
            <w:pPr>
              <w:jc w:val="center"/>
              <w:spacing w:line="400" w:lineRule="exact"/>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偏离说明</w:t>
            </w:r>
            <w:r/>
          </w:p>
        </w:tc>
      </w:tr>
      <w:tr>
        <w:trPr>
          <w:jc w:val="center"/>
        </w:trPr>
        <w:tc>
          <w:tcPr>
            <w:tcW w:w="1257"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091"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349"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1845"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312"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r>
      <w:tr>
        <w:trPr>
          <w:jc w:val="center"/>
        </w:trPr>
        <w:tc>
          <w:tcPr>
            <w:tcW w:w="1257"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091"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349"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1845"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312"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r>
      <w:tr>
        <w:trPr>
          <w:jc w:val="center"/>
        </w:trPr>
        <w:tc>
          <w:tcPr>
            <w:tcW w:w="1257"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091"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349"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1845"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312"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r>
      <w:tr>
        <w:trPr>
          <w:jc w:val="center"/>
        </w:trPr>
        <w:tc>
          <w:tcPr>
            <w:tcW w:w="1257"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091"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349"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1845"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312"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r>
      <w:tr>
        <w:trPr>
          <w:jc w:val="center"/>
        </w:trPr>
        <w:tc>
          <w:tcPr>
            <w:tcW w:w="1257"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091"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349"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1845"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c>
          <w:tcPr>
            <w:tcW w:w="2312" w:type="dxa"/>
            <w:textDirection w:val="lrTb"/>
            <w:noWrap w:val="false"/>
          </w:tcPr>
          <w:p>
            <w:pPr>
              <w:jc w:val="left"/>
              <w:spacing w:line="360" w:lineRule="auto"/>
              <w:rPr>
                <w:rFonts w:cs="宋体" w:asciiTheme="minorEastAsia" w:hAnsiTheme="minorEastAsia"/>
                <w:b/>
                <w:bCs/>
                <w:sz w:val="24"/>
                <w:szCs w:val="24"/>
                <w:highlight w:val="none"/>
                <w:lang w:val="zh-CN"/>
              </w:rPr>
            </w:pPr>
            <w:r>
              <w:rPr>
                <w:rFonts w:cs="宋体" w:asciiTheme="minorEastAsia" w:hAnsiTheme="minorEastAsia"/>
                <w:b/>
                <w:bCs/>
                <w:sz w:val="24"/>
                <w:szCs w:val="24"/>
                <w:highlight w:val="none"/>
                <w:lang w:val="zh-CN"/>
              </w:rPr>
            </w:r>
            <w:r/>
          </w:p>
        </w:tc>
      </w:tr>
    </w:tbl>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投标人（盖章）：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法定代表人或委托代理人（签字或盖章）：</w:t>
      </w:r>
      <w:r/>
    </w:p>
    <w:p>
      <w:pPr>
        <w:ind w:firstLine="480"/>
        <w:spacing w:line="360" w:lineRule="auto"/>
        <w:rPr>
          <w:rFonts w:ascii="宋体" w:hAnsi="宋体" w:eastAsia="宋体" w:cs="Times New Roman"/>
          <w:sz w:val="24"/>
          <w:szCs w:val="24"/>
          <w:highlight w:val="none"/>
        </w:rPr>
      </w:pPr>
      <w:r>
        <w:rPr>
          <w:rFonts w:hint="eastAsia" w:ascii="宋体" w:hAnsi="Courier New" w:eastAsia="宋体" w:cs="Times New Roman"/>
          <w:sz w:val="24"/>
          <w:szCs w:val="24"/>
          <w:highlight w:val="none"/>
        </w:rPr>
        <w:t xml:space="preserve">日期：    年     月     日</w:t>
      </w:r>
      <w:r>
        <w:rPr>
          <w:rFonts w:ascii="Times New Roman" w:hAnsi="Times New Roman" w:eastAsia="黑体" w:cs="Times New Roman"/>
          <w:b/>
          <w:sz w:val="28"/>
          <w:szCs w:val="20"/>
          <w:highlight w:val="none"/>
        </w:rPr>
        <w:br w:type="page" w:clear="all"/>
      </w:r>
      <w:r>
        <w:rPr>
          <w:rFonts w:hint="eastAsia" w:ascii="宋体" w:hAnsi="宋体" w:eastAsia="宋体" w:cs="Times New Roman"/>
          <w:sz w:val="24"/>
          <w:szCs w:val="24"/>
          <w:highlight w:val="none"/>
        </w:rPr>
        <w:t xml:space="preserve">格式11、售后服务承诺书</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售后服务承诺书</w:t>
      </w:r>
      <w:r/>
    </w:p>
    <w:p>
      <w:pPr>
        <w:ind w:firstLine="480"/>
        <w:jc w:val="cente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（请按“项目需求”要求内容自行填写）</w:t>
      </w:r>
      <w:r/>
    </w:p>
    <w:p>
      <w:pPr>
        <w:jc w:val="lef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投标人（盖章）：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法定代表人或委托代理人（签字或盖章）：</w:t>
      </w:r>
      <w:r/>
    </w:p>
    <w:p>
      <w:pPr>
        <w:ind w:firstLine="480"/>
        <w:spacing w:line="360" w:lineRule="auto"/>
        <w:rPr>
          <w:rFonts w:ascii="宋体" w:hAnsi="Courier New" w:eastAsia="宋体" w:cs="Times New Roman"/>
          <w:sz w:val="24"/>
          <w:szCs w:val="24"/>
          <w:highlight w:val="none"/>
        </w:rPr>
      </w:pPr>
      <w:r>
        <w:rPr>
          <w:rFonts w:hint="eastAsia" w:ascii="宋体" w:hAnsi="Courier New" w:eastAsia="宋体" w:cs="Times New Roman"/>
          <w:sz w:val="24"/>
          <w:szCs w:val="24"/>
          <w:highlight w:val="none"/>
        </w:rPr>
        <w:t xml:space="preserve">日期：    年     月     日</w:t>
      </w:r>
      <w:r/>
    </w:p>
    <w:p>
      <w:pPr>
        <w:jc w:val="lef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p>
      <w:pPr>
        <w:jc w:val="left"/>
        <w:widowControl/>
        <w:rPr>
          <w:rFonts w:ascii="宋体" w:hAnsi="宋体" w:eastAsia="宋体" w:cs="Times New Roman"/>
          <w:sz w:val="24"/>
          <w:szCs w:val="24"/>
          <w:highlight w:val="none"/>
        </w:rPr>
      </w:pPr>
      <w:r>
        <w:rPr>
          <w:rFonts w:ascii="宋体" w:hAnsi="宋体" w:eastAsia="宋体" w:cs="Times New Roman"/>
          <w:sz w:val="24"/>
          <w:szCs w:val="24"/>
          <w:highlight w:val="none"/>
        </w:rPr>
        <w:br w:type="page" w:clear="all"/>
      </w:r>
      <w:r/>
    </w:p>
    <w:p>
      <w:pPr>
        <w:jc w:val="left"/>
        <w:keepNext/>
        <w:spacing w:line="360" w:lineRule="auto"/>
        <w:rPr>
          <w:rFonts w:ascii="Times New Roman" w:hAnsi="宋体" w:eastAsia="黑体" w:cs="Times New Roman"/>
          <w:b/>
          <w:sz w:val="28"/>
          <w:szCs w:val="21"/>
          <w:highlight w:val="none"/>
        </w:rPr>
        <w:outlineLvl w:val="1"/>
      </w:pPr>
      <w:r>
        <w:rPr>
          <w:rFonts w:hint="eastAsia" w:ascii="宋体" w:hAnsi="宋体" w:eastAsia="宋体" w:cs="Times New Roman"/>
          <w:sz w:val="24"/>
          <w:szCs w:val="24"/>
          <w:highlight w:val="none"/>
        </w:rPr>
        <w:t xml:space="preserve">格式12、安装调试方案</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安装调试方案</w:t>
      </w:r>
      <w:r/>
    </w:p>
    <w:p>
      <w:pPr>
        <w:ind w:firstLine="480"/>
        <w:jc w:val="cente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（请按“项目需求”要求内容自行填写）</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投标人（盖章）：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法定代表人或委托代理人（签字或盖章）：</w:t>
      </w:r>
      <w:r/>
    </w:p>
    <w:p>
      <w:pPr>
        <w:ind w:firstLine="480"/>
        <w:spacing w:line="360" w:lineRule="auto"/>
        <w:rPr>
          <w:rFonts w:ascii="宋体" w:hAnsi="Courier New" w:eastAsia="宋体" w:cs="Times New Roman"/>
          <w:sz w:val="24"/>
          <w:szCs w:val="24"/>
          <w:highlight w:val="none"/>
        </w:rPr>
      </w:pPr>
      <w:r>
        <w:rPr>
          <w:rFonts w:hint="eastAsia" w:ascii="宋体" w:hAnsi="Courier New" w:eastAsia="宋体" w:cs="Times New Roman"/>
          <w:sz w:val="24"/>
          <w:szCs w:val="24"/>
          <w:highlight w:val="none"/>
        </w:rPr>
        <w:t xml:space="preserve">日期：    年     月     日</w:t>
      </w:r>
      <w:r/>
    </w:p>
    <w:p>
      <w:pPr>
        <w:jc w:val="left"/>
        <w:widowControl/>
        <w:rPr>
          <w:rFonts w:ascii="Times New Roman" w:hAnsi="Times New Roman" w:eastAsia="黑体" w:cs="Times New Roman"/>
          <w:b/>
          <w:sz w:val="28"/>
          <w:szCs w:val="20"/>
          <w:highlight w:val="none"/>
        </w:rPr>
      </w:pPr>
      <w:r>
        <w:rPr>
          <w:rFonts w:ascii="Times New Roman" w:hAnsi="Times New Roman" w:eastAsia="黑体" w:cs="Times New Roman"/>
          <w:b/>
          <w:sz w:val="28"/>
          <w:szCs w:val="20"/>
          <w:highlight w:val="none"/>
        </w:rPr>
        <w:br w:type="page" w:clear="all"/>
      </w:r>
      <w:r/>
    </w:p>
    <w:p>
      <w:pPr>
        <w:jc w:val="left"/>
        <w:keepNext/>
        <w:spacing w:line="360" w:lineRule="auto"/>
        <w:rPr>
          <w:rFonts w:ascii="Times New Roman" w:hAnsi="宋体" w:eastAsia="黑体" w:cs="Times New Roman"/>
          <w:b/>
          <w:sz w:val="28"/>
          <w:szCs w:val="21"/>
          <w:highlight w:val="none"/>
        </w:rPr>
        <w:outlineLvl w:val="1"/>
      </w:pPr>
      <w:r>
        <w:rPr>
          <w:rFonts w:hint="eastAsia" w:ascii="宋体" w:hAnsi="宋体" w:eastAsia="宋体" w:cs="Times New Roman"/>
          <w:sz w:val="24"/>
          <w:szCs w:val="24"/>
          <w:highlight w:val="none"/>
        </w:rPr>
        <w:t xml:space="preserve">格式13、培训方案</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培训方案</w:t>
      </w:r>
      <w:r/>
    </w:p>
    <w:p>
      <w:pPr>
        <w:ind w:firstLine="480"/>
        <w:jc w:val="cente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（请按“项目需求”要求内容自行填写）</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投标人（盖章）：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法定代表人或委托代理人（签字或盖章）：</w:t>
      </w:r>
      <w:r/>
    </w:p>
    <w:p>
      <w:pPr>
        <w:ind w:firstLine="480"/>
        <w:spacing w:line="360" w:lineRule="auto"/>
        <w:rPr>
          <w:rFonts w:ascii="宋体" w:hAnsi="Courier New" w:eastAsia="宋体" w:cs="Times New Roman"/>
          <w:sz w:val="24"/>
          <w:szCs w:val="24"/>
          <w:highlight w:val="none"/>
        </w:rPr>
      </w:pPr>
      <w:r>
        <w:rPr>
          <w:rFonts w:hint="eastAsia" w:ascii="宋体" w:hAnsi="Courier New" w:eastAsia="宋体" w:cs="Times New Roman"/>
          <w:sz w:val="24"/>
          <w:szCs w:val="24"/>
          <w:highlight w:val="none"/>
        </w:rPr>
        <w:t xml:space="preserve">日期：    年     月     日</w:t>
      </w:r>
      <w:r/>
    </w:p>
    <w:p>
      <w:pPr>
        <w:jc w:val="left"/>
        <w:widowControl/>
        <w:rPr>
          <w:rFonts w:ascii="Times New Roman" w:hAnsi="Times New Roman" w:eastAsia="黑体" w:cs="Times New Roman"/>
          <w:b/>
          <w:sz w:val="28"/>
          <w:szCs w:val="20"/>
          <w:highlight w:val="none"/>
        </w:rPr>
      </w:pPr>
      <w:r>
        <w:rPr>
          <w:rFonts w:ascii="Times New Roman" w:hAnsi="Times New Roman" w:eastAsia="黑体" w:cs="Times New Roman"/>
          <w:b/>
          <w:sz w:val="28"/>
          <w:szCs w:val="20"/>
          <w:highlight w:val="none"/>
        </w:rPr>
        <w:br w:type="page" w:clear="all"/>
      </w:r>
      <w:r/>
    </w:p>
    <w:p>
      <w:pPr>
        <w:keepNext/>
        <w:spacing w:line="360" w:lineRule="auto"/>
        <w:rPr>
          <w:rFonts w:ascii="宋体" w:hAnsi="Courier New" w:eastAsia="宋体" w:cs="Times New Roman"/>
          <w:sz w:val="24"/>
          <w:szCs w:val="24"/>
          <w:highlight w:val="none"/>
        </w:rPr>
        <w:outlineLvl w:val="1"/>
      </w:pPr>
      <w:r>
        <w:rPr>
          <w:rFonts w:hint="eastAsia" w:ascii="宋体" w:hAnsi="宋体" w:eastAsia="宋体"/>
          <w:sz w:val="24"/>
          <w:szCs w:val="24"/>
          <w:highlight w:val="none"/>
        </w:rPr>
        <w:t xml:space="preserve">格式14、财务状况报告及税收、社会保障资金缴纳情况承诺函</w:t>
      </w:r>
      <w:r/>
    </w:p>
    <w:p>
      <w:pPr>
        <w:jc w:val="center"/>
        <w:rPr>
          <w:rFonts w:ascii="黑体" w:hAnsi="黑体" w:eastAsia="黑体" w:cs="宋体"/>
          <w:bCs/>
          <w:sz w:val="36"/>
          <w:szCs w:val="28"/>
          <w:highlight w:val="none"/>
        </w:rPr>
      </w:pPr>
      <w:r>
        <w:rPr>
          <w:rFonts w:ascii="黑体" w:hAnsi="黑体" w:eastAsia="黑体" w:cs="宋体"/>
          <w:bCs/>
          <w:sz w:val="36"/>
          <w:szCs w:val="28"/>
          <w:highlight w:val="none"/>
        </w:rPr>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pStyle w:val="935"/>
        <w:rPr>
          <w:color w:val="auto"/>
          <w:highlight w:val="none"/>
        </w:rPr>
      </w:pPr>
      <w:r>
        <w:rPr>
          <w:color w:val="auto"/>
          <w:highlight w:val="none"/>
        </w:rPr>
      </w:r>
      <w:r/>
    </w:p>
    <w:p>
      <w:pPr>
        <w:rPr>
          <w:rFonts w:ascii="宋体" w:hAnsi="宋体" w:eastAsia="宋体" w:cs="Times New Roman"/>
          <w:sz w:val="24"/>
          <w:highlight w:val="none"/>
        </w:rPr>
      </w:pPr>
      <w:r>
        <w:rPr>
          <w:rFonts w:hint="eastAsia" w:ascii="宋体" w:hAnsi="宋体" w:eastAsia="宋体" w:cs="Times New Roman"/>
          <w:sz w:val="24"/>
          <w:highlight w:val="none"/>
        </w:rPr>
        <w:t xml:space="preserve">致：</w:t>
      </w:r>
      <w:r>
        <w:rPr>
          <w:rFonts w:hint="eastAsia" w:ascii="宋体" w:hAnsi="宋体" w:eastAsia="宋体" w:cs="Times New Roman"/>
          <w:i/>
          <w:sz w:val="24"/>
          <w:highlight w:val="none"/>
          <w:u w:val="single"/>
        </w:rPr>
        <w:t xml:space="preserve">【采购单位】</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我方</w:t>
      </w:r>
      <w:r>
        <w:rPr>
          <w:rFonts w:hint="eastAsia" w:ascii="宋体" w:hAnsi="宋体" w:eastAsia="宋体" w:cs="Times New Roman"/>
          <w:i/>
          <w:sz w:val="24"/>
          <w:highlight w:val="none"/>
          <w:u w:val="single"/>
        </w:rPr>
        <w:t xml:space="preserve">供应商名称</w:t>
      </w:r>
      <w:r>
        <w:rPr>
          <w:rFonts w:hint="eastAsia" w:ascii="宋体" w:hAnsi="宋体" w:eastAsia="宋体" w:cs="Times New Roman"/>
          <w:sz w:val="24"/>
          <w:highlight w:val="none"/>
        </w:rPr>
        <w:t xml:space="preserve">参加</w:t>
      </w:r>
      <w:r>
        <w:rPr>
          <w:rFonts w:hint="eastAsia" w:ascii="宋体" w:hAnsi="宋体" w:eastAsia="宋体" w:cs="Times New Roman"/>
          <w:i/>
          <w:sz w:val="24"/>
          <w:highlight w:val="none"/>
          <w:u w:val="single"/>
        </w:rPr>
        <w:t xml:space="preserve">【标段名称】</w:t>
      </w:r>
      <w:r>
        <w:rPr>
          <w:rFonts w:hint="eastAsia" w:ascii="宋体" w:hAnsi="宋体" w:eastAsia="宋体" w:cs="Times New Roman"/>
          <w:sz w:val="24"/>
          <w:highlight w:val="none"/>
        </w:rPr>
        <w:t xml:space="preserve">（项目编号：</w:t>
      </w:r>
      <w:r>
        <w:rPr>
          <w:rFonts w:hint="eastAsia" w:ascii="宋体" w:hAnsi="宋体" w:eastAsia="宋体" w:cs="Times New Roman"/>
          <w:i/>
          <w:sz w:val="24"/>
          <w:highlight w:val="none"/>
          <w:u w:val="single"/>
        </w:rPr>
        <w:t xml:space="preserve">【标段编号】</w:t>
      </w:r>
      <w:r>
        <w:rPr>
          <w:rFonts w:hint="eastAsia" w:ascii="宋体" w:hAnsi="宋体" w:eastAsia="宋体" w:cs="Times New Roman"/>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（1）具有良好的商业信誉和健全的财务会计制度（财务状况报告）；</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（2）有依法缴纳税收和社会保障资金的良好记录。</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特此承诺</w:t>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20"/>
        <w:rPr>
          <w:rFonts w:ascii="Calibri" w:hAnsi="Calibri" w:eastAsia="宋体" w:cs="Times New Roman"/>
          <w:highlight w:val="none"/>
        </w:rPr>
      </w:pPr>
      <w:r>
        <w:rPr>
          <w:rFonts w:hint="eastAsia" w:ascii="Calibri" w:hAnsi="Calibri" w:eastAsia="宋体" w:cs="Times New Roman"/>
          <w:highlight w:val="none"/>
        </w:rPr>
        <w:t xml:space="preserve">投标人（盖章）：</w:t>
      </w:r>
      <w:r/>
    </w:p>
    <w:p>
      <w:pPr>
        <w:ind w:firstLine="420"/>
        <w:rPr>
          <w:rFonts w:ascii="Calibri" w:hAnsi="Calibri" w:eastAsia="宋体" w:cs="Times New Roman"/>
          <w:highlight w:val="none"/>
        </w:rPr>
      </w:pPr>
      <w:r>
        <w:rPr>
          <w:rFonts w:hint="eastAsia" w:ascii="Calibri" w:hAnsi="Calibri" w:eastAsia="宋体" w:cs="Times New Roman"/>
          <w:highlight w:val="none"/>
        </w:rPr>
        <w:t xml:space="preserve">法定代表人或委托代理人（签字或盖章）：</w:t>
      </w:r>
      <w:r/>
    </w:p>
    <w:p>
      <w:pPr>
        <w:ind w:firstLine="420"/>
        <w:rPr>
          <w:rFonts w:ascii="宋体" w:hAnsi="宋体" w:eastAsia="宋体" w:cs="Times New Roman"/>
          <w:sz w:val="24"/>
          <w:highlight w:val="none"/>
        </w:rPr>
      </w:pPr>
      <w:r>
        <w:rPr>
          <w:rFonts w:hint="eastAsia" w:ascii="Calibri" w:hAnsi="Calibri" w:eastAsia="宋体" w:cs="Times New Roman"/>
          <w:highlight w:val="none"/>
        </w:rPr>
        <w:t xml:space="preserve">日期：    年     月     日</w:t>
      </w:r>
      <w:r/>
    </w:p>
    <w:p>
      <w:pPr>
        <w:ind w:firstLine="482"/>
        <w:spacing w:line="360" w:lineRule="auto"/>
        <w:rPr>
          <w:rFonts w:ascii="宋体" w:hAnsi="Courier New" w:eastAsia="宋体" w:cs="Times New Roman"/>
          <w:b/>
          <w:sz w:val="24"/>
          <w:szCs w:val="24"/>
          <w:highlight w:val="none"/>
        </w:rPr>
      </w:pPr>
      <w:r>
        <w:rPr>
          <w:rFonts w:ascii="宋体" w:hAnsi="Courier New" w:eastAsia="宋体" w:cs="Times New Roman"/>
          <w:b/>
          <w:sz w:val="24"/>
          <w:szCs w:val="24"/>
          <w:highlight w:val="none"/>
        </w:rPr>
      </w:r>
      <w:r/>
    </w:p>
    <w:p>
      <w:pPr>
        <w:rPr>
          <w:sz w:val="24"/>
          <w:highlight w:val="none"/>
        </w:rPr>
      </w:pPr>
      <w:r>
        <w:rPr>
          <w:rFonts w:ascii="Times New Roman" w:hAnsi="Times New Roman" w:eastAsia="黑体" w:cs="Times New Roman"/>
          <w:b/>
          <w:sz w:val="36"/>
          <w:szCs w:val="20"/>
          <w:highlight w:val="none"/>
        </w:rPr>
        <w:br w:type="page" w:clear="all"/>
      </w:r>
      <w:r>
        <w:rPr>
          <w:rFonts w:hint="eastAsia" w:ascii="宋体" w:hAnsi="宋体" w:eastAsia="宋体"/>
          <w:sz w:val="24"/>
          <w:szCs w:val="24"/>
          <w:highlight w:val="none"/>
        </w:rPr>
        <w:t xml:space="preserve">格式15、</w:t>
      </w:r>
      <w:r>
        <w:rPr>
          <w:rFonts w:hint="eastAsia"/>
          <w:sz w:val="24"/>
          <w:highlight w:val="none"/>
        </w:rPr>
        <w:t xml:space="preserve">其他材料</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其它材料</w:t>
      </w:r>
      <w:r/>
    </w:p>
    <w:p>
      <w:pPr>
        <w:jc w:val="center"/>
        <w:spacing w:line="52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（投标人对招标文件响应有必要提供的材料或评标办法中要求提供的材料）</w:t>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52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400" w:lineRule="exact"/>
        <w:rPr>
          <w:rFonts w:ascii="宋体" w:hAnsi="宋体" w:eastAsia="宋体" w:cs="Times New Roman"/>
          <w:b/>
          <w:sz w:val="28"/>
          <w:szCs w:val="30"/>
          <w:highlight w:val="none"/>
        </w:rPr>
      </w:pPr>
      <w:r>
        <w:rPr>
          <w:rFonts w:ascii="宋体" w:hAnsi="宋体" w:eastAsia="宋体" w:cs="Times New Roman"/>
          <w:b/>
          <w:sz w:val="28"/>
          <w:szCs w:val="30"/>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投标人（盖章）：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法定代表人或委托代理人（签字或盖章）：</w:t>
      </w:r>
      <w:r/>
    </w:p>
    <w:p>
      <w:pPr>
        <w:ind w:firstLine="480"/>
        <w:spacing w:line="360" w:lineRule="auto"/>
        <w:rPr>
          <w:rFonts w:ascii="FangSong_GB2312" w:hAnsi="Courier New" w:eastAsia="FangSong_GB2312" w:cs="Times New Roman"/>
          <w:spacing w:val="6"/>
          <w:sz w:val="30"/>
          <w:szCs w:val="30"/>
          <w:highlight w:val="none"/>
        </w:rPr>
      </w:pPr>
      <w:r>
        <w:rPr>
          <w:rFonts w:hint="eastAsia" w:ascii="宋体" w:hAnsi="Courier New" w:eastAsia="宋体" w:cs="Times New Roman"/>
          <w:sz w:val="24"/>
          <w:szCs w:val="24"/>
          <w:highlight w:val="none"/>
        </w:rPr>
        <w:t xml:space="preserve">日期：    年     月     日</w:t>
      </w:r>
      <w:r/>
    </w:p>
    <w:p>
      <w:pPr>
        <w:jc w:val="left"/>
        <w:widowControl/>
        <w:rPr>
          <w:rFonts w:ascii="Times New Roman" w:hAnsi="Times New Roman" w:eastAsia="黑体" w:cs="Times New Roman"/>
          <w:b/>
          <w:sz w:val="36"/>
          <w:szCs w:val="20"/>
          <w:highlight w:val="none"/>
        </w:rPr>
      </w:pPr>
      <w:r>
        <w:rPr>
          <w:rFonts w:ascii="Times New Roman" w:hAnsi="Times New Roman" w:eastAsia="黑体" w:cs="Times New Roman"/>
          <w:b/>
          <w:sz w:val="36"/>
          <w:szCs w:val="20"/>
          <w:highlight w:val="none"/>
        </w:rPr>
      </w:r>
      <w:r/>
    </w:p>
    <w:p>
      <w:pPr>
        <w:jc w:val="left"/>
        <w:widowControl/>
        <w:rPr>
          <w:rFonts w:ascii="Times New Roman" w:hAnsi="Times New Roman" w:eastAsia="黑体" w:cs="Times New Roman"/>
          <w:b/>
          <w:sz w:val="36"/>
          <w:szCs w:val="20"/>
          <w:highlight w:val="none"/>
        </w:rPr>
      </w:pPr>
      <w:r>
        <w:rPr>
          <w:rFonts w:ascii="Times New Roman" w:hAnsi="Times New Roman" w:eastAsia="黑体" w:cs="Times New Roman"/>
          <w:b/>
          <w:sz w:val="36"/>
          <w:szCs w:val="20"/>
          <w:highlight w:val="none"/>
        </w:rPr>
        <w:br w:type="page" w:clear="all"/>
      </w:r>
      <w:r/>
    </w:p>
    <w:p>
      <w:pPr>
        <w:jc w:val="center"/>
        <w:keepLines/>
        <w:keepNext/>
        <w:spacing w:line="360" w:lineRule="auto"/>
        <w:rPr>
          <w:rFonts w:ascii="Times New Roman" w:hAnsi="宋体" w:eastAsia="黑体" w:cs="Times New Roman"/>
          <w:b/>
          <w:sz w:val="36"/>
          <w:szCs w:val="20"/>
          <w:highlight w:val="none"/>
        </w:rPr>
        <w:outlineLvl w:val="0"/>
      </w:pPr>
      <w:r/>
      <w:bookmarkStart w:id="17" w:name="_Toc150765438"/>
      <w:r>
        <w:rPr>
          <w:rFonts w:hint="eastAsia" w:ascii="Times New Roman" w:hAnsi="Times New Roman" w:eastAsia="黑体" w:cs="Times New Roman"/>
          <w:b/>
          <w:sz w:val="36"/>
          <w:szCs w:val="20"/>
          <w:highlight w:val="none"/>
        </w:rPr>
        <w:t xml:space="preserve">第五章合同专用条款表</w:t>
      </w:r>
      <w:bookmarkEnd w:id="17"/>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本表是对第三章“政府采购合同格式”的补充和修改。如果两者之间有抵触，以本专用条款表为准。</w:t>
      </w:r>
      <w:r/>
    </w:p>
    <w:tbl>
      <w:tblPr>
        <w:tblStyle w:val="888"/>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8529"/>
      </w:tblGrid>
      <w:tr>
        <w:trPr>
          <w:jc w:val="center"/>
          <w:trHeight w:val="529"/>
        </w:trPr>
        <w:tc>
          <w:tcPr>
            <w:shd w:val="clear" w:color="auto" w:fill="fefefe"/>
            <w:tcW w:w="1070" w:type="dxa"/>
            <w:vAlign w:val="center"/>
            <w:textDirection w:val="lrTb"/>
            <w:noWrap w:val="false"/>
          </w:tcPr>
          <w:p>
            <w:pP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条款号</w:t>
            </w:r>
            <w:r/>
          </w:p>
        </w:tc>
        <w:tc>
          <w:tcPr>
            <w:shd w:val="clear" w:color="auto" w:fill="fefefe"/>
            <w:tcW w:w="8529" w:type="dxa"/>
            <w:vAlign w:val="center"/>
            <w:textDirection w:val="lrTb"/>
            <w:noWrap w:val="false"/>
          </w:tcPr>
          <w:p>
            <w:pP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内容</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p>
        </w:tc>
        <w:tc>
          <w:tcPr>
            <w:shd w:val="clear" w:color="auto" w:fill="fefefe"/>
            <w:tcW w:w="8529" w:type="dxa"/>
            <w:vAlign w:val="center"/>
            <w:textDirection w:val="lrTb"/>
            <w:noWrap w:val="false"/>
          </w:tcPr>
          <w:p>
            <w:pP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履约保证金：本项目不收取履约保证金。</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p>
        </w:tc>
        <w:tc>
          <w:tcPr>
            <w:shd w:val="clear" w:color="auto" w:fill="fefefe"/>
            <w:tcW w:w="8529" w:type="dxa"/>
            <w:vAlign w:val="center"/>
            <w:textDirection w:val="lrTb"/>
            <w:noWrap w:val="false"/>
          </w:tcPr>
          <w:p>
            <w:pPr>
              <w:spacing w:line="360" w:lineRule="auto"/>
              <w:rPr>
                <w:rFonts w:ascii="宋体" w:hAnsi="宋体" w:eastAsia="宋体" w:cs="Times New Roman"/>
                <w:sz w:val="24"/>
                <w:szCs w:val="24"/>
                <w:highlight w:val="none"/>
              </w:rPr>
            </w:pPr>
            <w:r>
              <w:rPr>
                <w:rFonts w:hint="eastAsia" w:ascii="宋体" w:hAnsi="宋体" w:eastAsia="宋体" w:cs="Times New Roman"/>
                <w:b/>
                <w:sz w:val="24"/>
                <w:szCs w:val="24"/>
                <w:highlight w:val="none"/>
              </w:rPr>
              <w:t xml:space="preserve">交货期：合同签订后60 日内完成安装调试，达到预期效果。</w:t>
            </w:r>
            <w:r/>
          </w:p>
        </w:tc>
      </w:tr>
      <w:tr>
        <w:trPr>
          <w:jc w:val="center"/>
          <w:trHeight w:val="1394"/>
        </w:trPr>
        <w:tc>
          <w:tcPr>
            <w:shd w:val="clear" w:color="auto" w:fill="fefefe"/>
            <w:tcW w:w="1070" w:type="dxa"/>
            <w:vAlign w:val="center"/>
            <w:textDirection w:val="lrTb"/>
            <w:noWrap w:val="false"/>
          </w:tcPr>
          <w:p>
            <w:pPr>
              <w:jc w:val="cente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w:t>
            </w:r>
            <w:r/>
          </w:p>
        </w:tc>
        <w:tc>
          <w:tcPr>
            <w:shd w:val="clear" w:color="auto" w:fill="fefefe"/>
            <w:tcW w:w="8529" w:type="dxa"/>
            <w:vAlign w:val="center"/>
            <w:textDirection w:val="lrTb"/>
            <w:noWrap w:val="false"/>
          </w:tcPr>
          <w:p>
            <w:pPr>
              <w:rPr>
                <w:rFonts w:hint="eastAsia" w:ascii="宋体" w:hAnsi="宋体"/>
                <w:b/>
                <w:sz w:val="24"/>
                <w:highlight w:val="none"/>
              </w:rPr>
            </w:pPr>
            <w:r>
              <w:rPr>
                <w:rFonts w:hint="eastAsia" w:ascii="Times New Roman" w:hAnsi="Times New Roman" w:eastAsia="宋体" w:cs="Times New Roman"/>
                <w:b/>
                <w:bCs/>
                <w:sz w:val="24"/>
                <w:szCs w:val="24"/>
                <w:highlight w:val="none"/>
              </w:rPr>
              <w:t xml:space="preserve">★</w:t>
            </w:r>
            <w:r>
              <w:rPr>
                <w:rFonts w:hint="eastAsia" w:ascii="宋体" w:hAnsi="宋体"/>
                <w:b/>
                <w:sz w:val="24"/>
                <w:highlight w:val="none"/>
                <w:lang w:eastAsia="zh-CN"/>
              </w:rPr>
              <w:t xml:space="preserve">原厂质保</w:t>
            </w:r>
            <w:r>
              <w:rPr>
                <w:rFonts w:hint="eastAsia" w:ascii="宋体" w:hAnsi="宋体"/>
                <w:b/>
                <w:sz w:val="24"/>
                <w:highlight w:val="none"/>
              </w:rPr>
              <w:t xml:space="preserve">：不少于</w:t>
            </w:r>
            <w:r>
              <w:rPr>
                <w:rFonts w:hint="eastAsia" w:ascii="宋体" w:hAnsi="宋体"/>
                <w:b/>
                <w:sz w:val="24"/>
                <w:highlight w:val="none"/>
                <w:lang w:val="en-US" w:eastAsia="zh-CN"/>
              </w:rPr>
              <w:t xml:space="preserve">3年</w:t>
            </w:r>
            <w:r>
              <w:rPr>
                <w:rFonts w:hint="eastAsia" w:ascii="宋体" w:hAnsi="宋体"/>
                <w:b/>
                <w:sz w:val="24"/>
                <w:highlight w:val="none"/>
              </w:rPr>
              <w:t xml:space="preserve">。</w:t>
            </w:r>
            <w:r/>
          </w:p>
          <w:p>
            <w:pPr>
              <w:spacing w:line="360" w:lineRule="auto"/>
              <w:rPr>
                <w:rFonts w:hint="eastAsia" w:ascii="宋体" w:hAnsi="宋体"/>
                <w:sz w:val="24"/>
                <w:highlight w:val="none"/>
              </w:rPr>
            </w:pPr>
            <w:r>
              <w:rPr>
                <w:rFonts w:hint="eastAsia" w:ascii="宋体" w:hAnsi="宋体"/>
                <w:sz w:val="24"/>
                <w:highlight w:val="none"/>
              </w:rPr>
              <w:t xml:space="preserve">1.质保期：3年。质保期内，对由于所供货物本身质量的原因引起的问题由中标人负责维修，如因设备质量或机件故障不能正常工作需要维修的，所有因维修（包括更换设备）产生的费用由中标人负责；对于采购方人为原因造成的故障，中标人只收取维保成本费用。</w:t>
            </w:r>
            <w:r/>
          </w:p>
          <w:p>
            <w:pPr>
              <w:spacing w:line="360" w:lineRule="auto"/>
              <w:rPr>
                <w:rFonts w:hint="eastAsia" w:ascii="宋体" w:hAnsi="宋体"/>
                <w:sz w:val="24"/>
                <w:highlight w:val="none"/>
              </w:rPr>
            </w:pPr>
            <w:r>
              <w:rPr>
                <w:rFonts w:hint="eastAsia" w:ascii="宋体" w:hAnsi="宋体"/>
                <w:sz w:val="24"/>
                <w:highlight w:val="none"/>
              </w:rPr>
              <w:t xml:space="preserve">2.质保期内，为保证设备的正常运行，如果所供货物出现不能修复的故障时，中标人应在接到采购人通知后24小时内赶到现场进行检测维修。如设备故障在七个工作日未能维修好，中标人须提供同型号的设备供采购人使用，直至设备维修好后方才取回。如不能维修，则中标人负责更换。</w:t>
            </w:r>
            <w:r/>
          </w:p>
          <w:p>
            <w:pPr>
              <w:spacing w:line="360" w:lineRule="auto"/>
              <w:rPr>
                <w:rFonts w:ascii="宋体" w:hAnsi="宋体" w:eastAsia="宋体" w:cs="Times New Roman"/>
                <w:sz w:val="24"/>
                <w:szCs w:val="24"/>
                <w:highlight w:val="none"/>
              </w:rPr>
            </w:pPr>
            <w:r>
              <w:rPr>
                <w:rFonts w:hint="eastAsia" w:ascii="宋体" w:hAnsi="宋体"/>
                <w:sz w:val="24"/>
                <w:highlight w:val="none"/>
              </w:rPr>
              <w:t xml:space="preserve">3.质保期内，中标人需对应用软件进行实时更新升级。</w:t>
            </w:r>
            <w:r/>
          </w:p>
        </w:tc>
      </w:tr>
      <w:tr>
        <w:trPr>
          <w:jc w:val="center"/>
          <w:trHeight w:val="1159"/>
        </w:trPr>
        <w:tc>
          <w:tcPr>
            <w:shd w:val="clear" w:color="auto" w:fill="fefefe"/>
            <w:tcW w:w="1070"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c>
          <w:tcPr>
            <w:shd w:val="clear" w:color="auto" w:fill="fefefe"/>
            <w:tcW w:w="8529" w:type="dxa"/>
            <w:vAlign w:val="center"/>
            <w:textDirection w:val="lrTb"/>
            <w:noWrap w:val="false"/>
          </w:tcPr>
          <w:p>
            <w:pPr>
              <w:spacing w:line="360" w:lineRule="auto"/>
              <w:rPr>
                <w:rFonts w:ascii="宋体" w:hAnsi="宋体" w:eastAsia="宋体" w:cs="Times New Roman"/>
                <w:sz w:val="24"/>
                <w:szCs w:val="24"/>
                <w:highlight w:val="none"/>
              </w:rPr>
            </w:pPr>
            <w:r>
              <w:rPr>
                <w:rFonts w:hint="eastAsia" w:ascii="Times New Roman" w:hAnsi="Times New Roman" w:eastAsia="宋体" w:cs="Times New Roman"/>
                <w:b/>
                <w:bCs/>
                <w:sz w:val="24"/>
                <w:szCs w:val="24"/>
                <w:highlight w:val="none"/>
              </w:rPr>
              <w:t xml:space="preserve">★</w:t>
            </w:r>
            <w:r>
              <w:rPr>
                <w:rFonts w:hint="eastAsia" w:ascii="宋体" w:hAnsi="宋体"/>
                <w:b/>
                <w:bCs/>
                <w:sz w:val="24"/>
                <w:highlight w:val="none"/>
              </w:rPr>
              <w:t xml:space="preserve">付款方式</w:t>
            </w:r>
            <w:r>
              <w:rPr>
                <w:rFonts w:hint="eastAsia" w:ascii="宋体" w:hAnsi="宋体"/>
                <w:b/>
                <w:sz w:val="24"/>
                <w:highlight w:val="none"/>
              </w:rPr>
              <w:t xml:space="preserve">：</w:t>
            </w:r>
            <w:r>
              <w:rPr>
                <w:rFonts w:hint="eastAsia" w:cs="宋体" w:asciiTheme="minorEastAsia" w:hAnsiTheme="minorEastAsia"/>
                <w:sz w:val="24"/>
                <w:szCs w:val="24"/>
                <w:highlight w:val="none"/>
              </w:rPr>
              <w:t xml:space="preserve">在设备安装、调试完毕并正常运行一个月后，能够满足使用部门要求的，经学校相关部门验收合格后支付合同款项的100%。</w:t>
            </w:r>
            <w:r/>
          </w:p>
        </w:tc>
      </w:tr>
      <w:tr>
        <w:trPr>
          <w:jc w:val="center"/>
          <w:trHeight w:val="1059"/>
        </w:trPr>
        <w:tc>
          <w:tcPr>
            <w:shd w:val="clear" w:color="auto" w:fill="fefefe"/>
            <w:tcW w:w="1070" w:type="dxa"/>
            <w:vAlign w:val="center"/>
            <w:textDirection w:val="lrTb"/>
            <w:noWrap w:val="false"/>
          </w:tcPr>
          <w:p>
            <w:pPr>
              <w:jc w:val="cente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12</w:t>
            </w:r>
            <w:r/>
          </w:p>
        </w:tc>
        <w:tc>
          <w:tcPr>
            <w:shd w:val="clear" w:color="auto" w:fill="fefefe"/>
            <w:tcW w:w="8529" w:type="dxa"/>
            <w:vAlign w:val="center"/>
            <w:textDirection w:val="lrTb"/>
            <w:noWrap w:val="false"/>
          </w:tcPr>
          <w:p>
            <w:pP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违约责任：</w:t>
            </w:r>
            <w:r/>
          </w:p>
          <w:p>
            <w:pP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具体违约条款及其它未尽事宜，将在双方签订合同时议定。</w:t>
            </w:r>
            <w:r/>
          </w:p>
        </w:tc>
      </w:tr>
    </w:tbl>
    <w:p>
      <w:pPr>
        <w:ind w:firstLine="482"/>
        <w:spacing w:line="360" w:lineRule="auto"/>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注：招标文件中标注★号的部分为实质性要求和条件（由采购人根据实际情况设置），投标人必须作出满足或者优于原要求和条件的响应，否则投标无效。</w:t>
      </w:r>
      <w:r/>
    </w:p>
    <w:p>
      <w:pPr>
        <w:jc w:val="center"/>
        <w:keepLines/>
        <w:keepNext/>
        <w:spacing w:line="360" w:lineRule="auto"/>
        <w:rPr>
          <w:rFonts w:ascii="Times New Roman" w:hAnsi="宋体" w:eastAsia="黑体" w:cs="Times New Roman"/>
          <w:sz w:val="36"/>
          <w:szCs w:val="20"/>
          <w:highlight w:val="none"/>
        </w:rPr>
        <w:outlineLvl w:val="0"/>
      </w:pPr>
      <w:r>
        <w:rPr>
          <w:rFonts w:ascii="Times New Roman" w:hAnsi="宋体" w:eastAsia="黑体" w:cs="Times New Roman"/>
          <w:bCs/>
          <w:sz w:val="36"/>
          <w:szCs w:val="20"/>
          <w:highlight w:val="none"/>
        </w:rPr>
        <w:br w:type="page" w:clear="all"/>
      </w:r>
      <w:bookmarkEnd w:id="15"/>
      <w:r/>
      <w:bookmarkEnd w:id="16"/>
      <w:r/>
      <w:bookmarkStart w:id="18" w:name="_Toc513622230"/>
      <w:r/>
      <w:bookmarkStart w:id="19" w:name="_Toc150765439"/>
      <w:r>
        <w:rPr>
          <w:rFonts w:hint="eastAsia" w:ascii="Times New Roman" w:hAnsi="宋体" w:eastAsia="黑体" w:cs="Times New Roman"/>
          <w:sz w:val="36"/>
          <w:szCs w:val="20"/>
          <w:highlight w:val="none"/>
        </w:rPr>
        <w:t xml:space="preserve">第六章项目需求</w:t>
      </w:r>
      <w:bookmarkEnd w:id="18"/>
      <w:r/>
      <w:bookmarkEnd w:id="19"/>
      <w:r/>
      <w:r/>
    </w:p>
    <w:p>
      <w:pPr>
        <w:ind w:firstLine="482"/>
        <w:spacing w:line="360" w:lineRule="auto"/>
        <w:rPr>
          <w:rFonts w:hint="eastAsia" w:ascii="宋体" w:hAnsi="Times New Roman" w:eastAsia="宋体" w:cs="Times New Roman"/>
          <w:b/>
          <w:sz w:val="24"/>
          <w:szCs w:val="21"/>
          <w:highlight w:val="none"/>
        </w:rPr>
      </w:pPr>
      <w:r>
        <w:rPr>
          <w:rFonts w:hint="eastAsia" w:ascii="Times New Roman" w:hAnsi="Times New Roman" w:eastAsia="宋体" w:cs="Times New Roman"/>
          <w:b/>
          <w:bCs/>
          <w:sz w:val="24"/>
          <w:szCs w:val="24"/>
          <w:highlight w:val="none"/>
        </w:rPr>
        <w:t xml:space="preserve">说明：本项目属性为货物，</w:t>
      </w:r>
      <w:r>
        <w:rPr>
          <w:rFonts w:hint="eastAsia" w:ascii="宋体" w:hAnsi="Times New Roman" w:eastAsia="宋体" w:cs="Times New Roman"/>
          <w:b/>
          <w:sz w:val="24"/>
          <w:szCs w:val="21"/>
          <w:highlight w:val="none"/>
        </w:rPr>
        <w:t xml:space="preserve">采购标的对应的中小企业划分标准所属行业详见货物（标的）采购清单。</w:t>
      </w:r>
      <w:r/>
    </w:p>
    <w:p>
      <w:pPr>
        <w:pStyle w:val="889"/>
        <w:ind w:firstLine="480"/>
        <w:rPr>
          <w:rFonts w:hint="eastAsia" w:ascii="宋体" w:hAnsi="宋体" w:eastAsia="宋体" w:cs="Times New Roman"/>
          <w:b w:val="0"/>
          <w:bCs w:val="0"/>
          <w:spacing w:val="0"/>
          <w:sz w:val="24"/>
          <w:szCs w:val="24"/>
          <w:highlight w:val="none"/>
          <w:lang w:val="en-US" w:eastAsia="zh-CN" w:bidi="ar-SA"/>
        </w:rPr>
      </w:pPr>
      <w:r>
        <w:rPr>
          <w:rFonts w:hint="eastAsia" w:ascii="宋体" w:hAnsi="宋体" w:eastAsia="宋体" w:cs="Times New Roman"/>
          <w:b w:val="0"/>
          <w:bCs w:val="0"/>
          <w:spacing w:val="0"/>
          <w:sz w:val="24"/>
          <w:szCs w:val="24"/>
          <w:highlight w:val="none"/>
          <w:lang w:val="en-US" w:eastAsia="zh-CN" w:bidi="ar-SA"/>
        </w:rPr>
        <w:t xml:space="preserve">根据《关于印发中小企业划型标准规定的通知》（工信部联企业〔2011〕300号）规定（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89"/>
        <w:ind w:firstLine="480"/>
        <w:rPr>
          <w:b w:val="0"/>
          <w:bCs w:val="0"/>
          <w:highlight w:val="none"/>
        </w:rPr>
      </w:pPr>
      <w:r>
        <w:rPr>
          <w:rFonts w:hint="eastAsia" w:ascii="宋体" w:hAnsi="宋体" w:eastAsia="宋体" w:cs="Times New Roman"/>
          <w:b w:val="0"/>
          <w:bCs w:val="0"/>
          <w:spacing w:val="0"/>
          <w:sz w:val="24"/>
          <w:szCs w:val="24"/>
          <w:highlight w:val="none"/>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jc w:val="left"/>
        <w:spacing w:line="360" w:lineRule="auto"/>
        <w:rPr>
          <w:rFonts w:ascii="宋体" w:hAnsi="宋体" w:eastAsia="宋体" w:cs="Times New Roman"/>
          <w:sz w:val="24"/>
          <w:szCs w:val="24"/>
          <w:highlight w:val="none"/>
        </w:rPr>
      </w:pPr>
      <w:r>
        <w:rPr>
          <w:rFonts w:hint="eastAsia" w:ascii="宋体" w:hAnsi="宋体" w:eastAsia="宋体" w:cs="Times New Roman"/>
          <w:b/>
          <w:sz w:val="24"/>
          <w:szCs w:val="24"/>
          <w:highlight w:val="none"/>
        </w:rPr>
        <w:t xml:space="preserve">1、</w:t>
      </w:r>
      <w:r>
        <w:rPr>
          <w:rFonts w:hint="eastAsia" w:ascii="宋体" w:hAnsi="宋体" w:eastAsia="宋体" w:cs="Times New Roman"/>
          <w:b/>
          <w:bCs/>
          <w:sz w:val="24"/>
          <w:szCs w:val="24"/>
          <w:highlight w:val="none"/>
        </w:rPr>
        <w:t xml:space="preserve">本项目需求中标注★号的部分为实质性要求和条件（由采购人根据实际情况设置），投标人必须作出满足或者优于原要求和条件的响应，否则投标无效。</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2、根</w:t>
      </w:r>
      <w:r>
        <w:rPr>
          <w:rFonts w:hint="eastAsia" w:ascii="宋体" w:hAnsi="宋体" w:eastAsia="宋体" w:cs="Times New Roman"/>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pStyle w:val="889"/>
        <w:ind w:firstLine="480"/>
        <w:rPr>
          <w:rFonts w:hint="eastAsia" w:ascii="宋体" w:hAnsi="宋体" w:eastAsia="宋体" w:cs="Times New Roman"/>
          <w:b w:val="0"/>
          <w:spacing w:val="0"/>
          <w:sz w:val="24"/>
          <w:szCs w:val="24"/>
          <w:highlight w:val="none"/>
          <w:lang w:val="en-US" w:eastAsia="zh-CN" w:bidi="ar-SA"/>
        </w:rPr>
      </w:pPr>
      <w:r>
        <w:rPr>
          <w:rFonts w:hint="eastAsia" w:ascii="宋体" w:hAnsi="宋体" w:eastAsia="宋体" w:cs="Times New Roman"/>
          <w:b w:val="0"/>
          <w:spacing w:val="0"/>
          <w:sz w:val="24"/>
          <w:szCs w:val="24"/>
          <w:highlight w:val="none"/>
          <w:lang w:val="en-US" w:eastAsia="zh-CN" w:bidi="ar-SA"/>
        </w:rPr>
        <w:t xml:space="preserve">3、本项目核心产品为：</w:t>
      </w:r>
      <w:r>
        <w:rPr>
          <w:rFonts w:hint="eastAsia" w:ascii="宋体" w:hAnsi="宋体" w:eastAsia="宋体" w:cs="Times New Roman"/>
          <w:b/>
          <w:bCs/>
          <w:spacing w:val="0"/>
          <w:sz w:val="24"/>
          <w:szCs w:val="24"/>
          <w:highlight w:val="none"/>
          <w:u w:val="single"/>
          <w:lang w:val="en-US" w:eastAsia="zh-CN" w:bidi="ar-SA"/>
        </w:rPr>
        <w:t xml:space="preserve"> </w:t>
      </w:r>
      <w:bookmarkStart w:id="20" w:name="OLE_LINK34"/>
      <w:r/>
      <w:bookmarkStart w:id="21" w:name="OLE_LINK35"/>
      <w:r>
        <w:rPr>
          <w:rFonts w:hint="eastAsia" w:ascii="宋体" w:hAnsi="宋体" w:eastAsia="宋体" w:cs="Times New Roman"/>
          <w:b/>
          <w:bCs/>
          <w:spacing w:val="0"/>
          <w:sz w:val="24"/>
          <w:szCs w:val="24"/>
          <w:highlight w:val="none"/>
          <w:u w:val="single"/>
          <w:lang w:val="en-US" w:eastAsia="zh-CN" w:bidi="ar-SA"/>
        </w:rPr>
        <w:t xml:space="preserve">智慧教学终端 </w:t>
      </w:r>
      <w:bookmarkEnd w:id="20"/>
      <w:r/>
      <w:bookmarkEnd w:id="21"/>
      <w:r>
        <w:rPr>
          <w:rFonts w:hint="eastAsia" w:ascii="宋体" w:hAnsi="宋体" w:eastAsia="宋体" w:cs="Times New Roman"/>
          <w:b w:val="0"/>
          <w:spacing w:val="0"/>
          <w:sz w:val="24"/>
          <w:szCs w:val="24"/>
          <w:highlight w:val="none"/>
          <w:lang w:val="en-US" w:eastAsia="zh-CN" w:bidi="ar-SA"/>
        </w:rPr>
        <w:t xml:space="preserve"> </w:t>
      </w:r>
      <w:r/>
    </w:p>
    <w:p>
      <w:pPr>
        <w:ind w:firstLine="482"/>
        <w:spacing w:line="360" w:lineRule="auto"/>
        <w:rPr>
          <w:rFonts w:ascii="宋体" w:hAnsi="宋体" w:eastAsia="宋体" w:cs="宋体"/>
          <w:b/>
          <w:sz w:val="24"/>
          <w:szCs w:val="24"/>
          <w:highlight w:val="none"/>
        </w:rPr>
      </w:pPr>
      <w:r/>
      <w:bookmarkStart w:id="22" w:name="_Toc513622231"/>
      <w:r/>
      <w:bookmarkStart w:id="23" w:name="_Toc139967217"/>
      <w:r/>
      <w:bookmarkStart w:id="24" w:name="_Toc139966433"/>
      <w:r>
        <w:rPr>
          <w:rFonts w:hint="eastAsia" w:ascii="宋体" w:hAnsi="宋体" w:eastAsia="宋体" w:cs="宋体"/>
          <w:b/>
          <w:sz w:val="24"/>
          <w:szCs w:val="24"/>
          <w:highlight w:val="none"/>
        </w:rPr>
        <w:t xml:space="preserve">一、项目概述</w:t>
      </w:r>
      <w:r/>
    </w:p>
    <w:p>
      <w:pPr>
        <w:ind w:firstLine="480"/>
        <w:jc w:val="left"/>
        <w:spacing w:line="360" w:lineRule="auto"/>
        <w:rPr>
          <w:rFonts w:ascii="宋体" w:hAnsi="Times New Roman" w:eastAsia="宋体" w:cs="Times New Roman"/>
          <w:highlight w:val="none"/>
        </w:rPr>
      </w:pPr>
      <w:r>
        <w:rPr>
          <w:rFonts w:hint="eastAsia" w:ascii="宋体" w:hAnsi="宋体" w:eastAsia="宋体" w:cs="宋体"/>
          <w:sz w:val="24"/>
          <w:szCs w:val="24"/>
          <w:highlight w:val="none"/>
        </w:rPr>
        <w:t xml:space="preserve">连云港新海初级中学需建设36口智慧教室，拟购买混合式智慧教学终端、高清双目摄像机、无感扩声及配套的巡课和 AI课堂评价系统等。</w:t>
      </w:r>
      <w:r/>
    </w:p>
    <w:p>
      <w:pPr>
        <w:ind w:firstLine="482"/>
        <w:jc w:val="both"/>
        <w:keepLines/>
        <w:keepNext/>
        <w:spacing w:before="240" w:after="200"/>
        <w:widowControl w:val="off"/>
        <w:rPr>
          <w:rFonts w:hint="eastAsia" w:ascii="宋体" w:hAnsi="宋体" w:eastAsia="宋体" w:cs="宋体"/>
          <w:b/>
          <w:sz w:val="24"/>
          <w:szCs w:val="24"/>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二、货物（标的）采购清单</w:t>
      </w:r>
      <w:r/>
    </w:p>
    <w:tbl>
      <w:tblPr>
        <w:tblStyle w:val="88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4371"/>
        <w:gridCol w:w="996"/>
        <w:gridCol w:w="1370"/>
        <w:gridCol w:w="2166"/>
      </w:tblGrid>
      <w:tr>
        <w:trPr>
          <w:trHeight w:val="1140"/>
        </w:trPr>
        <w:tc>
          <w:tcPr>
            <w:shd w:val="clear" w:color="auto" w:fill="auto"/>
            <w:tcW w:w="48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auto"/>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货物（标的）名称</w:t>
            </w:r>
            <w:r/>
          </w:p>
        </w:tc>
        <w:tc>
          <w:tcPr>
            <w:shd w:val="clear" w:color="auto" w:fill="auto"/>
            <w:tcW w:w="50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auto"/>
            <w:tcW w:w="69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shd w:val="clear" w:color="auto" w:fill="auto"/>
            <w:tcW w:w="1097"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中小企业划分标准所属行业</w:t>
            </w:r>
            <w:r/>
          </w:p>
        </w:tc>
      </w:tr>
      <w:tr>
        <w:trPr>
          <w:trHeight w:val="375"/>
        </w:trPr>
        <w:tc>
          <w:tcPr>
            <w:gridSpan w:val="5"/>
            <w:shd w:val="clear" w:color="auto" w:fill="ffffff"/>
            <w:tcW w:w="5000"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一、智课系统</w:t>
            </w:r>
            <w:r/>
          </w:p>
        </w:tc>
      </w:tr>
      <w:tr>
        <w:trPr>
          <w:trHeight w:val="480"/>
        </w:trPr>
        <w:tc>
          <w:tcPr>
            <w:shd w:val="clear" w:color="auto" w:fill="ffffff"/>
            <w:tcW w:w="48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智慧教学终端</w:t>
            </w:r>
            <w:r/>
          </w:p>
        </w:tc>
        <w:tc>
          <w:tcPr>
            <w:shd w:val="clear" w:color="auto" w:fill="ffffff"/>
            <w:tcW w:w="50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36</w:t>
            </w:r>
            <w:r/>
          </w:p>
        </w:tc>
        <w:tc>
          <w:tcPr>
            <w:shd w:val="clear" w:color="auto" w:fill="ffffff"/>
            <w:tcW w:w="69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shd w:val="clear" w:color="auto" w:fill="auto"/>
            <w:tcW w:w="109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工业</w:t>
            </w:r>
            <w:r/>
          </w:p>
        </w:tc>
      </w:tr>
      <w:tr>
        <w:trPr>
          <w:trHeight w:val="480"/>
        </w:trPr>
        <w:tc>
          <w:tcPr>
            <w:shd w:val="clear" w:color="auto" w:fill="ffffff"/>
            <w:tcW w:w="48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终端管理软件</w:t>
            </w:r>
            <w:r/>
          </w:p>
        </w:tc>
        <w:tc>
          <w:tcPr>
            <w:shd w:val="clear" w:color="auto" w:fill="ffffff"/>
            <w:tcW w:w="50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36</w:t>
            </w:r>
            <w:r/>
          </w:p>
        </w:tc>
        <w:tc>
          <w:tcPr>
            <w:shd w:val="clear" w:color="auto" w:fill="ffffff"/>
            <w:tcW w:w="69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auto" w:fill="auto"/>
            <w:tcW w:w="109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color w:val="333333"/>
                <w:sz w:val="24"/>
                <w:szCs w:val="24"/>
                <w:highlight w:val="none"/>
                <w:shd w:val="clear" w:color="auto" w:fill="ffffff"/>
              </w:rPr>
              <w:t xml:space="preserve">软件和信息技术服务业</w:t>
            </w:r>
            <w:r/>
          </w:p>
        </w:tc>
      </w:tr>
      <w:tr>
        <w:trPr>
          <w:trHeight w:val="480"/>
        </w:trPr>
        <w:tc>
          <w:tcPr>
            <w:shd w:val="clear" w:color="auto" w:fill="ffffff"/>
            <w:tcW w:w="48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auto"/>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课堂行为分析软件</w:t>
            </w:r>
            <w:r/>
          </w:p>
        </w:tc>
        <w:tc>
          <w:tcPr>
            <w:shd w:val="clear" w:color="auto" w:fill="ffffff"/>
            <w:tcW w:w="50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36</w:t>
            </w:r>
            <w:r/>
          </w:p>
        </w:tc>
        <w:tc>
          <w:tcPr>
            <w:shd w:val="clear" w:color="auto" w:fill="ffffff"/>
            <w:tcW w:w="69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auto" w:fill="auto"/>
            <w:tcW w:w="109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color w:val="333333"/>
                <w:sz w:val="24"/>
                <w:szCs w:val="24"/>
                <w:highlight w:val="none"/>
                <w:shd w:val="clear" w:color="auto" w:fill="ffffff"/>
              </w:rPr>
              <w:t xml:space="preserve">软件和信息技术服务业</w:t>
            </w:r>
            <w:r/>
          </w:p>
        </w:tc>
      </w:tr>
      <w:tr>
        <w:trPr>
          <w:trHeight w:val="480"/>
        </w:trPr>
        <w:tc>
          <w:tcPr>
            <w:shd w:val="clear" w:color="auto" w:fill="ffffff"/>
            <w:tcW w:w="48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auto" w:fill="auto"/>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高清双目摄像机</w:t>
            </w:r>
            <w:r/>
          </w:p>
        </w:tc>
        <w:tc>
          <w:tcPr>
            <w:shd w:val="clear" w:color="auto" w:fill="ffffff"/>
            <w:tcW w:w="50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36</w:t>
            </w:r>
            <w:r/>
          </w:p>
        </w:tc>
        <w:tc>
          <w:tcPr>
            <w:shd w:val="clear" w:color="auto" w:fill="ffffff"/>
            <w:tcW w:w="69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shd w:val="clear" w:color="auto" w:fill="auto"/>
            <w:tcW w:w="109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工业</w:t>
            </w:r>
            <w:r/>
          </w:p>
        </w:tc>
      </w:tr>
      <w:tr>
        <w:trPr>
          <w:trHeight w:val="480"/>
        </w:trPr>
        <w:tc>
          <w:tcPr>
            <w:shd w:val="clear" w:color="auto" w:fill="ffffff"/>
            <w:tcW w:w="48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shd w:val="clear" w:color="auto" w:fill="auto"/>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摄像机管理软件</w:t>
            </w:r>
            <w:r/>
          </w:p>
        </w:tc>
        <w:tc>
          <w:tcPr>
            <w:shd w:val="clear" w:color="auto" w:fill="ffffff"/>
            <w:tcW w:w="505"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36</w:t>
            </w:r>
            <w:r/>
          </w:p>
        </w:tc>
        <w:tc>
          <w:tcPr>
            <w:shd w:val="clear" w:color="auto" w:fill="ffffff"/>
            <w:tcW w:w="696"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auto" w:fill="auto"/>
            <w:tcW w:w="109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color w:val="333333"/>
                <w:sz w:val="24"/>
                <w:szCs w:val="24"/>
                <w:highlight w:val="none"/>
                <w:shd w:val="clear" w:color="auto" w:fill="ffffff"/>
              </w:rPr>
              <w:t xml:space="preserve">软件和信息技术服务业</w:t>
            </w:r>
            <w:r/>
          </w:p>
        </w:tc>
      </w:tr>
      <w:tr>
        <w:trPr>
          <w:trHeight w:val="480"/>
        </w:trPr>
        <w:tc>
          <w:tcPr>
            <w:shd w:val="clear" w:color="auto" w:fill="ffffff"/>
            <w:tcW w:w="48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shd w:val="clear" w:color="auto" w:fill="auto"/>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触控面板</w:t>
            </w:r>
            <w:r/>
          </w:p>
        </w:tc>
        <w:tc>
          <w:tcPr>
            <w:shd w:val="clear" w:color="auto" w:fill="ffffff"/>
            <w:tcW w:w="505"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36</w:t>
            </w:r>
            <w:r/>
          </w:p>
        </w:tc>
        <w:tc>
          <w:tcPr>
            <w:shd w:val="clear" w:color="auto" w:fill="ffffff"/>
            <w:tcW w:w="696"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shd w:val="clear" w:color="auto" w:fill="auto"/>
            <w:tcW w:w="109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工业</w:t>
            </w:r>
            <w:r/>
          </w:p>
        </w:tc>
      </w:tr>
      <w:tr>
        <w:trPr>
          <w:trHeight w:val="315"/>
        </w:trPr>
        <w:tc>
          <w:tcPr>
            <w:shd w:val="clear" w:color="auto" w:fill="ffffff"/>
            <w:tcW w:w="48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shd w:val="clear" w:color="auto" w:fill="ffffff"/>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辅材安装调试</w:t>
            </w:r>
            <w:r/>
          </w:p>
        </w:tc>
        <w:tc>
          <w:tcPr>
            <w:shd w:val="clear" w:color="auto" w:fill="ffffff"/>
            <w:tcW w:w="505"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1</w:t>
            </w:r>
            <w:r/>
          </w:p>
        </w:tc>
        <w:tc>
          <w:tcPr>
            <w:shd w:val="clear" w:color="auto" w:fill="ffffff"/>
            <w:tcW w:w="69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shd w:val="clear" w:color="auto" w:fill="auto"/>
            <w:tcW w:w="109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工业</w:t>
            </w:r>
            <w:r/>
          </w:p>
        </w:tc>
      </w:tr>
      <w:tr>
        <w:trPr>
          <w:trHeight w:val="375"/>
        </w:trPr>
        <w:tc>
          <w:tcPr>
            <w:gridSpan w:val="5"/>
            <w:shd w:val="clear" w:color="auto" w:fill="ffffff"/>
            <w:tcW w:w="5000"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二、智能研修与巡课平台、AI智能分析主机</w:t>
            </w:r>
            <w:r/>
          </w:p>
        </w:tc>
      </w:tr>
      <w:tr>
        <w:trPr>
          <w:trHeight w:val="480"/>
        </w:trPr>
        <w:tc>
          <w:tcPr>
            <w:shd w:val="clear" w:color="auto" w:fill="ffffff"/>
            <w:tcW w:w="48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ffffff"/>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AI智能语音分析主机</w:t>
            </w:r>
            <w:r/>
          </w:p>
        </w:tc>
        <w:tc>
          <w:tcPr>
            <w:shd w:val="clear" w:color="auto" w:fill="ffffff"/>
            <w:tcW w:w="50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ffffff"/>
            <w:tcW w:w="69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shd w:val="clear" w:color="auto" w:fill="auto"/>
            <w:tcW w:w="109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工业</w:t>
            </w:r>
            <w:r/>
          </w:p>
        </w:tc>
      </w:tr>
      <w:tr>
        <w:trPr>
          <w:trHeight w:val="480"/>
        </w:trPr>
        <w:tc>
          <w:tcPr>
            <w:shd w:val="clear" w:color="auto" w:fill="ffffff"/>
            <w:tcW w:w="48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ffffff"/>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智能语音分析软件</w:t>
            </w:r>
            <w:r/>
          </w:p>
        </w:tc>
        <w:tc>
          <w:tcPr>
            <w:shd w:val="clear" w:color="auto" w:fill="ffffff"/>
            <w:tcW w:w="50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ffffff"/>
            <w:tcW w:w="69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auto" w:fill="auto"/>
            <w:tcW w:w="109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color w:val="333333"/>
                <w:sz w:val="24"/>
                <w:szCs w:val="24"/>
                <w:highlight w:val="none"/>
                <w:shd w:val="clear" w:color="auto" w:fill="ffffff"/>
              </w:rPr>
              <w:t xml:space="preserve">软件和信息技术服务业</w:t>
            </w:r>
            <w:r/>
          </w:p>
        </w:tc>
      </w:tr>
      <w:tr>
        <w:trPr>
          <w:trHeight w:val="594"/>
        </w:trPr>
        <w:tc>
          <w:tcPr>
            <w:shd w:val="clear" w:color="auto" w:fill="ffffff"/>
            <w:tcW w:w="48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ffffff"/>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智慧教学应用平台</w:t>
            </w:r>
            <w:r/>
          </w:p>
        </w:tc>
        <w:tc>
          <w:tcPr>
            <w:shd w:val="clear" w:color="auto" w:fill="ffffff"/>
            <w:tcW w:w="50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ffffff"/>
            <w:tcW w:w="69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auto" w:fill="auto"/>
            <w:tcW w:w="109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color w:val="333333"/>
                <w:sz w:val="24"/>
                <w:szCs w:val="24"/>
                <w:highlight w:val="none"/>
                <w:shd w:val="clear" w:color="auto" w:fill="ffffff"/>
              </w:rPr>
              <w:t xml:space="preserve">软件和信息技术服务业</w:t>
            </w:r>
            <w:r/>
          </w:p>
        </w:tc>
      </w:tr>
      <w:tr>
        <w:trPr>
          <w:trHeight w:val="422"/>
        </w:trPr>
        <w:tc>
          <w:tcPr>
            <w:shd w:val="clear" w:color="auto" w:fill="ffffff"/>
            <w:tcW w:w="48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auto" w:fill="ffffff"/>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平台服务器</w:t>
            </w:r>
            <w:r/>
          </w:p>
        </w:tc>
        <w:tc>
          <w:tcPr>
            <w:shd w:val="clear" w:color="auto" w:fill="ffffff"/>
            <w:tcW w:w="50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ffffff"/>
            <w:tcW w:w="69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shd w:val="clear" w:color="auto" w:fill="auto"/>
            <w:tcW w:w="109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工业</w:t>
            </w:r>
            <w:r/>
          </w:p>
        </w:tc>
      </w:tr>
      <w:tr>
        <w:trPr>
          <w:trHeight w:val="375"/>
        </w:trPr>
        <w:tc>
          <w:tcPr>
            <w:gridSpan w:val="5"/>
            <w:shd w:val="clear" w:color="auto" w:fill="auto"/>
            <w:tcW w:w="5000"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三、无感扩声</w:t>
            </w:r>
            <w:r/>
          </w:p>
        </w:tc>
      </w:tr>
      <w:tr>
        <w:trPr>
          <w:trHeight w:val="426"/>
        </w:trPr>
        <w:tc>
          <w:tcPr>
            <w:shd w:val="clear" w:color="auto" w:fill="ffffff"/>
            <w:tcW w:w="48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ffffff"/>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音频处理器</w:t>
            </w:r>
            <w:r/>
          </w:p>
        </w:tc>
        <w:tc>
          <w:tcPr>
            <w:shd w:val="clear" w:color="auto" w:fill="ffffff"/>
            <w:tcW w:w="50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36</w:t>
            </w:r>
            <w:r/>
          </w:p>
        </w:tc>
        <w:tc>
          <w:tcPr>
            <w:shd w:val="clear" w:color="auto" w:fill="ffffff"/>
            <w:tcW w:w="69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shd w:val="clear" w:color="auto" w:fill="auto"/>
            <w:tcW w:w="109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工业</w:t>
            </w:r>
            <w:r/>
          </w:p>
        </w:tc>
      </w:tr>
      <w:tr>
        <w:trPr>
          <w:trHeight w:val="455"/>
        </w:trPr>
        <w:tc>
          <w:tcPr>
            <w:shd w:val="clear" w:color="auto" w:fill="ffffff"/>
            <w:tcW w:w="48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ffffff"/>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高保真音箱</w:t>
            </w:r>
            <w:r/>
          </w:p>
        </w:tc>
        <w:tc>
          <w:tcPr>
            <w:shd w:val="clear" w:color="auto" w:fill="ffffff"/>
            <w:tcW w:w="50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36</w:t>
            </w:r>
            <w:r/>
          </w:p>
        </w:tc>
        <w:tc>
          <w:tcPr>
            <w:shd w:val="clear" w:color="auto" w:fill="ffffff"/>
            <w:tcW w:w="696" w:type="pct"/>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对</w:t>
            </w:r>
            <w:r/>
          </w:p>
        </w:tc>
        <w:tc>
          <w:tcPr>
            <w:shd w:val="clear" w:color="auto" w:fill="auto"/>
            <w:tcW w:w="109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工业</w:t>
            </w:r>
            <w:r/>
          </w:p>
        </w:tc>
      </w:tr>
      <w:tr>
        <w:trPr>
          <w:trHeight w:val="506"/>
        </w:trPr>
        <w:tc>
          <w:tcPr>
            <w:shd w:val="clear" w:color="auto" w:fill="ffffff"/>
            <w:tcW w:w="48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ffffff"/>
            <w:tcW w:w="2219"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扩声麦克风</w:t>
            </w:r>
            <w:r/>
          </w:p>
        </w:tc>
        <w:tc>
          <w:tcPr>
            <w:shd w:val="clear" w:color="auto" w:fill="ffffff"/>
            <w:tcW w:w="50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36</w:t>
            </w:r>
            <w:r/>
          </w:p>
        </w:tc>
        <w:tc>
          <w:tcPr>
            <w:shd w:val="clear" w:color="auto" w:fill="ffffff"/>
            <w:tcW w:w="69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个</w:t>
            </w:r>
            <w:r/>
          </w:p>
        </w:tc>
        <w:tc>
          <w:tcPr>
            <w:shd w:val="clear" w:color="auto" w:fill="auto"/>
            <w:tcW w:w="109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工业</w:t>
            </w:r>
            <w:r/>
          </w:p>
        </w:tc>
      </w:tr>
    </w:tbl>
    <w:p>
      <w:pPr>
        <w:jc w:val="both"/>
        <w:keepLines/>
        <w:keepNext/>
        <w:spacing w:before="240" w:after="200"/>
        <w:widowControl w:val="off"/>
        <w:rPr>
          <w:rFonts w:hint="eastAsia" w:ascii="宋体" w:hAnsi="宋体" w:eastAsia="宋体" w:cs="宋体"/>
          <w:b/>
          <w:sz w:val="24"/>
          <w:szCs w:val="24"/>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三、货物（标的）技术参数及功能指标</w:t>
      </w:r>
      <w:r/>
    </w:p>
    <w:tbl>
      <w:tblPr>
        <w:tblStyle w:val="88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1572"/>
        <w:gridCol w:w="7279"/>
      </w:tblGrid>
      <w:tr>
        <w:trPr>
          <w:trHeight w:val="570"/>
        </w:trPr>
        <w:tc>
          <w:tcPr>
            <w:shd w:val="clear" w:color="auto" w:fill="auto"/>
            <w:tcW w:w="507"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auto"/>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货物名称</w:t>
            </w:r>
            <w:r/>
          </w:p>
        </w:tc>
        <w:tc>
          <w:tcPr>
            <w:shd w:val="clear" w:color="auto" w:fill="auto"/>
            <w:tcW w:w="3694"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技术参数及功能指标</w:t>
            </w:r>
            <w:r/>
          </w:p>
        </w:tc>
      </w:tr>
      <w:tr>
        <w:trPr>
          <w:trHeight w:val="375"/>
        </w:trPr>
        <w:tc>
          <w:tcPr>
            <w:gridSpan w:val="3"/>
            <w:shd w:val="clear" w:color="auto" w:fill="ffffff"/>
            <w:tcW w:w="5000"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一、智课系统</w:t>
            </w:r>
            <w:r/>
          </w:p>
        </w:tc>
      </w:tr>
      <w:tr>
        <w:trPr>
          <w:trHeight w:val="90"/>
        </w:trPr>
        <w:tc>
          <w:tcPr>
            <w:shd w:val="clear" w:color="auto" w:fill="ffffff"/>
            <w:tcW w:w="50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智慧教学终端</w:t>
            </w:r>
            <w:r/>
          </w:p>
        </w:tc>
        <w:tc>
          <w:tcPr>
            <w:shd w:val="clear" w:color="auto" w:fill="auto"/>
            <w:tcW w:w="3694"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1.主机采用嵌入式设计，高度集成化包括独立完成视频采集、音频采集、音频编码、视频编码、音频处理、视频处理、直播、录制、互动、AI视觉行为分析等功能；</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▲2.主机须满足摄录一体化要求，内置双目摄像设计，摄像头1采用1/2.7英寸CMOS传感器，有效像素要求超过800万。摄像头2采用1/3.06英寸CMOS传感器，有效像素要求超过1300万；</w:t>
            </w:r>
            <w:r>
              <w:rPr>
                <w:rFonts w:hint="eastAsia" w:ascii="Calibri" w:hAnsi="Calibri" w:eastAsia="宋体" w:cs="Times New Roman"/>
                <w:b/>
                <w:bCs/>
                <w:color w:val="000000"/>
                <w:sz w:val="24"/>
                <w:szCs w:val="24"/>
                <w:highlight w:val="none"/>
              </w:rPr>
              <w:t xml:space="preserve">（投标文件中提供具有CMA</w:t>
            </w:r>
            <w:r>
              <w:rPr>
                <w:rFonts w:hint="eastAsia" w:ascii="宋体" w:hAnsi="宋体" w:eastAsia="宋体" w:cs="宋体"/>
                <w:b/>
                <w:bCs/>
                <w:sz w:val="24"/>
                <w:szCs w:val="24"/>
                <w:highlight w:val="none"/>
              </w:rPr>
              <w:t xml:space="preserve">或CNAS</w:t>
            </w:r>
            <w:r>
              <w:rPr>
                <w:rFonts w:hint="eastAsia" w:ascii="Calibri" w:hAnsi="Calibri" w:eastAsia="宋体" w:cs="Times New Roman"/>
                <w:b/>
                <w:bCs/>
                <w:color w:val="000000"/>
                <w:sz w:val="24"/>
                <w:szCs w:val="24"/>
                <w:highlight w:val="none"/>
              </w:rPr>
              <w:t xml:space="preserve">标识的第三方检测机构出具的检测报告扫描件并加盖投标人公章）</w:t>
            </w:r>
            <w:r>
              <w:rPr>
                <w:rFonts w:hint="eastAsia" w:ascii="Calibri" w:hAnsi="Calibri" w:eastAsia="宋体" w:cs="Times New Roman"/>
                <w:b/>
                <w:bCs/>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▲3.AI边缘计算：要求设备支持AI人工智能课堂分析能力，无需额外部署算力分析设备即可实现AI学生行为分析，并支持实时分析。</w:t>
            </w:r>
            <w:r>
              <w:rPr>
                <w:rFonts w:hint="eastAsia" w:ascii="Calibri" w:hAnsi="Calibri" w:eastAsia="宋体" w:cs="Times New Roman"/>
                <w:b/>
                <w:bCs/>
                <w:color w:val="000000"/>
                <w:sz w:val="24"/>
                <w:szCs w:val="24"/>
                <w:highlight w:val="none"/>
              </w:rPr>
              <w:t xml:space="preserve">（投标文件中提供具有CMA</w:t>
            </w:r>
            <w:r>
              <w:rPr>
                <w:rFonts w:hint="eastAsia" w:ascii="宋体" w:hAnsi="宋体" w:eastAsia="宋体" w:cs="宋体"/>
                <w:b/>
                <w:bCs/>
                <w:sz w:val="24"/>
                <w:szCs w:val="24"/>
                <w:highlight w:val="none"/>
              </w:rPr>
              <w:t xml:space="preserve">或CNAS</w:t>
            </w:r>
            <w:r>
              <w:rPr>
                <w:rFonts w:hint="eastAsia" w:ascii="Calibri" w:hAnsi="Calibri" w:eastAsia="宋体" w:cs="Times New Roman"/>
                <w:b/>
                <w:bCs/>
                <w:color w:val="000000"/>
                <w:sz w:val="24"/>
                <w:szCs w:val="24"/>
                <w:highlight w:val="none"/>
              </w:rPr>
              <w:t xml:space="preserve">标识的第三方检测机构出具的检测报告扫描件并加盖投标人公章）</w:t>
            </w:r>
            <w:r>
              <w:rPr>
                <w:rFonts w:hint="eastAsia" w:ascii="Calibri" w:hAnsi="Calibri" w:eastAsia="宋体" w:cs="Times New Roman"/>
                <w:b/>
                <w:bCs/>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4.要求设备支持≥1路高清视频输入HDMI in，≥4路数字视频输入D-Video in，≥2路高清视频输出HDMI out，≥1路线性音频输入Line in，≥1路线性音频输出Line out，≥2路数字音频D-MIC；</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5.要求设备支持≥1路USB，≥1路以太网口，并支持IPv4、IPv6双协议栈；</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6.可外接一路教师拍摄摄像机，并通过数字视频接口传输非编码裸数据，有效避免网络摄像机编码传输的延迟和损耗，实现无延迟、低损耗的高清视频信号采集；</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▲7.要求视频采集支持网线“一线通”技术，外接教师摄像机的供电、控制、视频传输均可通过一根双绞线完成；</w:t>
            </w:r>
            <w:r>
              <w:rPr>
                <w:rFonts w:hint="eastAsia" w:ascii="Calibri" w:hAnsi="Calibri" w:eastAsia="宋体" w:cs="Times New Roman"/>
                <w:b/>
                <w:bCs/>
                <w:color w:val="000000"/>
                <w:sz w:val="24"/>
                <w:szCs w:val="24"/>
                <w:highlight w:val="none"/>
              </w:rPr>
              <w:t xml:space="preserve">（投标文件中提供具有CMA</w:t>
            </w:r>
            <w:r>
              <w:rPr>
                <w:rFonts w:hint="eastAsia" w:ascii="宋体" w:hAnsi="宋体" w:eastAsia="宋体" w:cs="宋体"/>
                <w:b/>
                <w:bCs/>
                <w:sz w:val="24"/>
                <w:szCs w:val="24"/>
                <w:highlight w:val="none"/>
              </w:rPr>
              <w:t xml:space="preserve">或CNAS</w:t>
            </w:r>
            <w:r>
              <w:rPr>
                <w:rFonts w:hint="eastAsia" w:ascii="Calibri" w:hAnsi="Calibri" w:eastAsia="宋体" w:cs="Times New Roman"/>
                <w:b/>
                <w:bCs/>
                <w:color w:val="000000"/>
                <w:sz w:val="24"/>
                <w:szCs w:val="24"/>
                <w:highlight w:val="none"/>
              </w:rPr>
              <w:t xml:space="preserve">标识的第三方检测机构出具的检测报告扫描件并加盖投标人公章）</w:t>
            </w:r>
            <w:r>
              <w:rPr>
                <w:rFonts w:hint="eastAsia" w:ascii="Calibri" w:hAnsi="Calibri" w:eastAsia="宋体" w:cs="Times New Roman"/>
                <w:b/>
                <w:bCs/>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8.要求支持H.264 H.265编码协议，AAC音频编码协议，RTMP、RTSP视频传输协议，H.323、SIP、BFCP、WebRTC视频通信协议，视频封装格式MP4、TS；</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9.主机采用不高于DC 60V的安全电压供电；</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10.要求设备支持自定义工作模式，实现通电后的自动开机工作或待机休眠等状态。</w:t>
            </w:r>
            <w:r/>
          </w:p>
        </w:tc>
      </w:tr>
      <w:tr>
        <w:trPr>
          <w:trHeight w:val="90"/>
        </w:trPr>
        <w:tc>
          <w:tcPr>
            <w:shd w:val="clear" w:color="auto" w:fill="ffffff"/>
            <w:tcW w:w="50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终端管理软件</w:t>
            </w:r>
            <w:r/>
          </w:p>
        </w:tc>
        <w:tc>
          <w:tcPr>
            <w:shd w:val="clear" w:color="auto" w:fill="auto"/>
            <w:tcW w:w="3694"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一、系统管理功能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1.录播系统可支持通过浏览器登录软件进行管理，至少包括系统基本设置、录像文件管理、设备安装信息；可在导播后台看到涵盖内置与外接摄像机以及HDMI信号等所有预览画面；</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2.休眠唤醒：需支持定时休眠唤醒功能，提供精确到秒的自定义时间设置，可以单独设置是否定时休眠或者定时唤醒；</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3.权限管理：需支持对主机后台设置管理员用户与普通用户两种使用权限，普通用户无法进行相关参数与配置修改；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4.系统状态：支持在导播界面实时查看主机当前CPU温度、磁盘空间占用情况、视频录制的参数配置和正在录制的视频时长与大小等信息；</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5.要求系统支持对外接的高清摄像机进行远程配置，统一维护和管理界面，快速调整拍摄画面质量；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6.存储管理：需支持录像文件循环覆盖功能，系统在存储接近满载的情况时，将自动清理系统内录制日期最老的录像文件；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7.支持FTP文件传输协议，主机录制生成的视频文件与应用平台实现自动归档上传；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二、视音频处理功能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1.支持录课模式和互动模式两种不同应用场景下的针对性音频处理能力，适应不同场景下的音频指标差异，实现免调试自适应；</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2.要求系统在自定义布局、多信号录制直播的情况下所有信号画面保持绝对同步无延迟的拍摄效果满足最佳的使用体验；</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3.音频处理：支持音频采样率的设置，且支持AGC自动增益、ANS噪声抑制、EQ均衡、AEC回声抑制等音频处理功能；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4.录制码流：支持主码流和子码流的高低双码流录制，且支持自定义清晰度、帧率、码率和I帧间隔，支持动态比特率或静态比特率两种模式；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5.标签设置：需支持视频信号源标签设置，对摄像机实时拍摄信号、HDMI高清输入信号均可自定义名称标签，为导播控制与编辑灵活性提供便利；</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7.支持自定义推流分辨率和码率，码率64Kbps~4096Kbps范围可设，以适应不同网络环境下保持直播的流畅性；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互动能力：要求内置互动模块，无需额外部署MCU类设备即可支持“1+3”的互动授课模式，实现专递课堂教学应用。同时也需支持会议互动模式，创建或加入大规模视音频实时互动。通过通讯录、短号、最近呼叫等方式发起互动呼叫，进行互动教学。</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三、AI分析功能</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1.支持对课堂进行综合多维度的实时分析，包括“学生出勤率”、“前排就坐率”、“学生抬头率”、“课堂语言分析”、“教师活动轨迹”、“课堂时间分配”等维度数据。（提供产品功能截图，加盖投标人公章）</w:t>
            </w:r>
            <w:r/>
          </w:p>
        </w:tc>
      </w:tr>
      <w:tr>
        <w:trPr>
          <w:trHeight w:val="90"/>
        </w:trPr>
        <w:tc>
          <w:tcPr>
            <w:shd w:val="clear" w:color="auto" w:fill="ffffff"/>
            <w:tcW w:w="50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auto"/>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课堂行为分析软件</w:t>
            </w:r>
            <w:r/>
          </w:p>
        </w:tc>
        <w:tc>
          <w:tcPr>
            <w:shd w:val="clear" w:color="auto" w:fill="auto"/>
            <w:tcW w:w="3694"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一.整体要求</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1.兼容对接：配套高清录播主机，实现视频数据分析；同时支持与视频资源管理平台无缝对接，可将数据通过平台进行分析结果数据展示。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2.多维分析：支持对课堂数据进行综合多维度的分析，包括“课堂三率”、“课堂语言分析”、“教学行为分析”、“教师活动轨迹”、“课堂时间分配”、“学生课堂动作表情分析”等维度数据。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3.实时分析：支持对师生出勤率、S-T教学行为、教师活动轨迹、学生课堂动作表情分析等维度数据进行实时统计分析。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二.课堂教情分析要求</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1.教学行为分析：支持“教师讲授”、“指导学生”、“学生汇报”、“师生互动”、“生生互动”、“教师巡视”多种维度的教学行为识别。</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2.教师轨迹分析：支持统计整个课节时间内授课教师的授课行动轨迹，直观呈现教师授课过程中的授课位置数据。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3.教师巡视分析：要求支持教师巡视情况统计并形成教师巡视数据，分析数据应包括教师课堂巡视次数、时长等数据。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三.课堂学生分析要求</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1.班级出勤率统计：以班级维度进行班级出勤人数统计，包括应出席人数、实际出席人数、出勤率、迟到人数、缺席人数等。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2.学生听课率分析：支持以课堂时间为轴线，对各个时刻学生的听课率进行分析统计，同时统计峰值和平均值数据。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3.支持学生课堂动作分析，包括趴桌子、举手、站立、抬头等肢体语言，可对各类动作进行实时检测。</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4.支持对学生动作的实时统计分析，统计当前每种学生动作的峰值次数和占比。</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5.支持学生课堂表情分析，包括积极、平淡、消极等表情。并支持对各类表情进行实时检测，统计课堂中各类表情的学生人数。</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6.支持对整节课堂实现学生动作和表情的统计分析，统计每种学生动作和表情的峰值时刻、峰值占比和峰值人数。</w:t>
            </w:r>
            <w:r/>
          </w:p>
        </w:tc>
      </w:tr>
      <w:tr>
        <w:trPr>
          <w:trHeight w:val="90"/>
        </w:trPr>
        <w:tc>
          <w:tcPr>
            <w:shd w:val="clear" w:color="auto" w:fill="ffffff"/>
            <w:tcW w:w="50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auto" w:fill="auto"/>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高清双目摄像机</w:t>
            </w:r>
            <w:r/>
          </w:p>
        </w:tc>
        <w:tc>
          <w:tcPr>
            <w:shd w:val="clear" w:color="auto" w:fill="auto"/>
            <w:tcW w:w="3694"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1.要求内置双目摄像设计，包括一个定焦摄像头和一个变焦摄像头。采用CMOS类型图像传感器，尺寸≥1/2.7英寸；</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2.有效像素≥800万；</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3.最大可支持3840×2160并向下兼容；</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5.要求变焦摄像头具备转动跟踪，水平转动范围达±155°，垂直转动范围达-30°~＋120°；</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6.要求支持高速与慢速快门速度，最快不小于1/10000s，最慢不小于1/25s；</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7.要求定焦摄像头水平视场角≥63.4°，垂直视场角≥38.3°；</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8.要求支持H.265、H.264高清视频编码协议；</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9.要求具备数字视频输出口（RJ45）≥1，HDMI视频输出口≥1；</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10.要求具备Console口（RJ45）≥1；</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11.RJ45网络接口≥1，并支持100M/1000M自适应以太网接入与RTSP协议网络视频输出；</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12.要求支持OPUS、G.711A、AAC等常用音频编码协议；</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13.要求具备USB Type-A≥1；</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14.要求支持VISCA协议满足多种场景控制要求；</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16.要求具备背光补偿功能；</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17.支持2D/3D数字降噪，信噪比≥55dB；</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▲18.一线通：要求与搭配的录播主机实现基于RJ45双绞线的一线通连接，完成摄像机供电、控制以及视频信号传输；</w:t>
            </w:r>
            <w:r>
              <w:rPr>
                <w:rFonts w:hint="eastAsia" w:ascii="Calibri" w:hAnsi="Calibri" w:eastAsia="宋体" w:cs="Times New Roman"/>
                <w:b/>
                <w:bCs/>
                <w:color w:val="000000"/>
                <w:sz w:val="24"/>
                <w:szCs w:val="24"/>
                <w:highlight w:val="none"/>
              </w:rPr>
              <w:t xml:space="preserve">（投标文件中提供具有CMA</w:t>
            </w:r>
            <w:r>
              <w:rPr>
                <w:rFonts w:hint="eastAsia" w:ascii="宋体" w:hAnsi="宋体" w:eastAsia="宋体" w:cs="宋体"/>
                <w:b/>
                <w:bCs/>
                <w:sz w:val="24"/>
                <w:szCs w:val="24"/>
                <w:highlight w:val="none"/>
              </w:rPr>
              <w:t xml:space="preserve">或CNAS</w:t>
            </w:r>
            <w:r>
              <w:rPr>
                <w:rFonts w:hint="eastAsia" w:ascii="Calibri" w:hAnsi="Calibri" w:eastAsia="宋体" w:cs="Times New Roman"/>
                <w:b/>
                <w:bCs/>
                <w:color w:val="000000"/>
                <w:sz w:val="24"/>
                <w:szCs w:val="24"/>
                <w:highlight w:val="none"/>
              </w:rPr>
              <w:t xml:space="preserve">标识的第三方检测机构出具的检测报告扫描件并加盖投标人公章）</w:t>
            </w:r>
            <w:r>
              <w:rPr>
                <w:rFonts w:hint="eastAsia" w:ascii="Calibri" w:hAnsi="Calibri" w:eastAsia="宋体" w:cs="Times New Roman"/>
                <w:b/>
                <w:bCs/>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▲19.内置边缘AI算力，支持AI视觉实时分析、人物跟踪拍摄。 </w:t>
            </w:r>
            <w:r>
              <w:rPr>
                <w:rFonts w:hint="eastAsia" w:ascii="Calibri" w:hAnsi="Calibri" w:eastAsia="宋体" w:cs="Times New Roman"/>
                <w:b/>
                <w:bCs/>
                <w:color w:val="000000"/>
                <w:sz w:val="24"/>
                <w:szCs w:val="24"/>
                <w:highlight w:val="none"/>
              </w:rPr>
              <w:t xml:space="preserve">（投标文件中提供具有CMA</w:t>
            </w:r>
            <w:r>
              <w:rPr>
                <w:rFonts w:hint="eastAsia" w:ascii="宋体" w:hAnsi="宋体" w:eastAsia="宋体" w:cs="宋体"/>
                <w:b/>
                <w:bCs/>
                <w:sz w:val="24"/>
                <w:szCs w:val="24"/>
                <w:highlight w:val="none"/>
              </w:rPr>
              <w:t xml:space="preserve">或CNAS</w:t>
            </w:r>
            <w:r>
              <w:rPr>
                <w:rFonts w:hint="eastAsia" w:ascii="Calibri" w:hAnsi="Calibri" w:eastAsia="宋体" w:cs="Times New Roman"/>
                <w:b/>
                <w:bCs/>
                <w:color w:val="000000"/>
                <w:sz w:val="24"/>
                <w:szCs w:val="24"/>
                <w:highlight w:val="none"/>
              </w:rPr>
              <w:t xml:space="preserve">标识的第三方检测机构出具的检测报告扫描件并加盖投标人公章）</w:t>
            </w:r>
            <w:r>
              <w:rPr>
                <w:rFonts w:hint="eastAsia" w:ascii="Calibri" w:hAnsi="Calibri" w:eastAsia="宋体" w:cs="Times New Roman"/>
                <w:b/>
                <w:bCs/>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20.支持POE供电和DC12V电源适配器等供电方式；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21.要求摄像机与录播主机为同一品牌。</w:t>
            </w:r>
            <w:r/>
          </w:p>
        </w:tc>
      </w:tr>
      <w:tr>
        <w:trPr>
          <w:trHeight w:val="410"/>
        </w:trPr>
        <w:tc>
          <w:tcPr>
            <w:shd w:val="clear" w:color="auto" w:fill="ffffff"/>
            <w:tcW w:w="50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shd w:val="clear" w:color="auto" w:fill="auto"/>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摄像机管理软件</w:t>
            </w:r>
            <w:r/>
          </w:p>
        </w:tc>
        <w:tc>
          <w:tcPr>
            <w:shd w:val="clear" w:color="auto" w:fill="auto"/>
            <w:tcW w:w="3694"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1.摄像机传输处理软件需采用B/S架构，支持通用浏览器直接访问进行管理；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2.需支持设置自动/手动/一键锁定/室内/室外多场景白平衡设置，红、蓝增益可调以满足不同环境取景需要；；</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3.需支持噪声抑制设置功能，支持2D、3D数字降噪；</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4.需支持摄像机图像质量调节功能，包括亮度、对比度、色调、饱和度；</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5.需支持图像水平、垂直翻转，适应摄像机不同的安装方式要求；</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6.需支持摄像机控制功能，包括变焦摄像头控制、预置位设置与调用、焦距调节等；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7.变焦摄像头需支持自动/手动两种聚焦锁定模式；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8.变焦摄像头需支持设置预置位数量≥255，预置位设置精度≤0.1°；</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▲9.支持老师行为AI分析功能，包括教师行为轨迹、师生互动行为等；（提供产品功能截图，加盖投标人公章）</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10.支持老师AI跟踪拍摄，要求内置AI跟踪算法，摄像机内无额外辅助摄像头也无需增加任何设备即可实现人像自动跟踪，包括水平运动、俯仰运动、变焦、聚焦四维实时跟踪；（提供产品功能截图，加盖投标人公章）</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▲11.AI抗干扰：支持在拍摄画面有显示设备或其他动态视频播放的情况下，自动启用AI抗干扰能力，保障画面始终锁定被跟踪对象，且跟踪效果不受影响。（提供产品功能截图，加盖投标人公章）</w:t>
            </w:r>
            <w:r/>
          </w:p>
        </w:tc>
      </w:tr>
      <w:tr>
        <w:trPr>
          <w:trHeight w:val="90"/>
        </w:trPr>
        <w:tc>
          <w:tcPr>
            <w:shd w:val="clear" w:color="auto" w:fill="ffffff"/>
            <w:tcW w:w="50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shd w:val="clear" w:color="auto" w:fill="auto"/>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触控面板</w:t>
            </w:r>
            <w:r/>
          </w:p>
        </w:tc>
        <w:tc>
          <w:tcPr>
            <w:shd w:val="clear" w:color="auto" w:fill="auto"/>
            <w:tcW w:w="3694"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1.硬件设计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1）支持壁挂式上墙部署；</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2）具备不小于10.1英寸1280*800高清全视角显示屏幕；</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3）存储性能：缓存容量不小于2G,存储容量不小于16G；</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4）操作系统 ：Android 11及以上版本；</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5）接口类型：USB≥1， 网络接口≥1，串口RS232≥1；</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2.整体设计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1）控制方式：支持通过网络连接进行录播主机的管理、控制；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2）电源管理：支持控制录播主机的关机、休眠、唤醒操作；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3）集成录课模式控制、互动模式控制、录像资源管理等控制应用；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3.录课模式控制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1）支持通过触控面板实时预览录制信号画面，进行导播操作；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2）支持录制开始/停止、录制暂停/恢复、直播开启/关闭、电脑画面锁定/解锁等功能操作；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3）支持常用键位设置，可设置各镜头快速切换、画面布局等相关录课操作常用键位；</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4.互动模式控制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1）支持通讯录呼叫功能，读取显示录播主机通讯录，并能够通过通讯录进行快速呼叫；</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2）支持快速拨号呼叫功能，输入用户短号实现快速呼叫；</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3）支持通过触控面板实时预览互动信号画面，实现直观互动控制；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4）支持互动过程的录制、暂停、直播等操作；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5）支持互动过程的自动导播控制、互动导播画面自由选择控制功能；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5.录像资源管理控制</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▲1）支持录像资源管理，通过导播控制软件直观呈现当前录播主机的录像资源信息，并支持选择相关的录课资源进行回放；（提供产品功能截图，加盖投标人公章）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2）支持录制资源下载操作，将文件下载至U盘进行移动共享。</w:t>
            </w:r>
            <w:r/>
          </w:p>
        </w:tc>
      </w:tr>
      <w:tr>
        <w:trPr>
          <w:trHeight w:val="315"/>
        </w:trPr>
        <w:tc>
          <w:tcPr>
            <w:shd w:val="clear" w:color="auto" w:fill="ffffff"/>
            <w:tcW w:w="50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shd w:val="clear" w:color="auto" w:fill="ffffff"/>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辅材安装调试</w:t>
            </w:r>
            <w:r/>
          </w:p>
        </w:tc>
        <w:tc>
          <w:tcPr>
            <w:shd w:val="clear" w:color="auto" w:fill="ffffff"/>
            <w:tcW w:w="3694"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满足系统布线需求：网线、高清线、话筒线、音箱线、吊杆、安装调试等</w:t>
            </w:r>
            <w:r/>
          </w:p>
        </w:tc>
      </w:tr>
      <w:tr>
        <w:trPr>
          <w:trHeight w:val="375"/>
        </w:trPr>
        <w:tc>
          <w:tcPr>
            <w:gridSpan w:val="3"/>
            <w:shd w:val="clear" w:color="auto" w:fill="ffffff"/>
            <w:tcW w:w="5000"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二、智能研修与巡课平台、AI智能分析主机</w:t>
            </w:r>
            <w:r/>
          </w:p>
        </w:tc>
      </w:tr>
      <w:tr>
        <w:trPr>
          <w:trHeight w:val="2825"/>
        </w:trPr>
        <w:tc>
          <w:tcPr>
            <w:shd w:val="clear" w:color="auto" w:fill="ffffff"/>
            <w:tcW w:w="50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ffffff"/>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AI智能语音分析主机</w:t>
            </w:r>
            <w:r/>
          </w:p>
        </w:tc>
        <w:tc>
          <w:tcPr>
            <w:shd w:val="clear" w:color="auto" w:fill="ffffff"/>
            <w:tcW w:w="3694"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1.硬件外观：标准1U机架式设备，便于安装部署；</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2.硬件结构：采用嵌入式架构设计，采用SOC解决方案，高稳定性、低功耗。采用内置NPU高端处理器，具备智能学习特性，充分保障AI处理能力。</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3.内置存储：不低于1TB机械硬盘，7200rpm转速；</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4.网络：标准RJ45网络接口，10M/100M/1000M自适应LAN口x 1，要求支持IPv4、IPv6双协议栈。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5.其他接口：USB2.0、HDMI；</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6.设备复位：支持一键Reset复位；</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7.工作电压：采用不高于DC 36V安全电压供电；</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8.功耗：额定功率24W；</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9.工作温度：10℃~35℃；</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10.工作湿度：20%～80%；</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11.协议标准：支持RTP/RTSP/RTMP/HTTP/TCP/UDP;</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12.编码标准：音频支持AAC编码协议；</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13.分析能力：支持语音分析能力，包括语音转写、语速分析、高频词分析、敏感词提取、教师提问频次等。</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14.接入认证：支持联动资源管理平台完成录播主机的接入认证，认证过的录播主机方能导入音频文件数据进行分析；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15.接入认证：支持联动资源管理平台完成录播主机的接入认证，认证过的录播主机方能导入音频文件数据进行分析；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16.数据导入：支持基于网络方式获取音频数据，平台排课预约后即可下发指令，通过网络下发音频文件至分析主机进行导入分析，无需额外导入操作；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17.分析数据模式：支持自动获取平台排课预约推送音频与手动导入视频拆分音频分析的两种方式；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18.排队机制：支持分析任务排队机制，任务超过并发量自动进行排队等待，逐一进行分析；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19.本地分析能力：支持分析能力落在本地主机，内网连接即可用，无需连接互联网云端能力，最大程度保障数据安全；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20.为确保系统兼容性，要求与录播系统为同一品牌。</w:t>
            </w:r>
            <w:r/>
          </w:p>
        </w:tc>
      </w:tr>
      <w:tr>
        <w:trPr>
          <w:trHeight w:val="1124"/>
        </w:trPr>
        <w:tc>
          <w:tcPr>
            <w:shd w:val="clear" w:color="auto" w:fill="ffffff"/>
            <w:tcW w:w="50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ffffff"/>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智能语音分析软件</w:t>
            </w:r>
            <w:r/>
          </w:p>
        </w:tc>
        <w:tc>
          <w:tcPr>
            <w:shd w:val="clear" w:color="auto" w:fill="ffffff"/>
            <w:tcW w:w="3694"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1.教师提问情况分析：支持基于课堂语音识别能力进行教师课堂提问行为分析，从提问次数与高频时间段两个核心维度进行数据统计，实现课堂提问情况的清晰回顾。</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2.教师语速分析：支持通过语音识别能力进行教师课堂授课语速分析，呈现数据需包括教师课堂说话词数以及平均语速。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3.课堂语音转写：要求基于语音语义识别完成课堂音频的文字转换，实现课堂教学过程语音全纪录，要求平台上可输出整节课的文字字幕。实现字幕与视频进度关联，通过点击字幕同步播放对应进度的视频。</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4.课堂关键词分析：支持通过进行课堂语音识别，抓取统计提前设置好的课堂知识点关键词，统计各关键词出现的次数频率，并在课堂时间轴上标注出现的时间点。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5.课堂问答情况分析：要求支持对课堂过程中师生的问答内容作出AI认知度的分析识别，并显示高低认知度的占比情况。判断教学过程当中的基础认识问题次数与占比，高级认知问题的次数与占比；</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6.课堂问题类型分析：要求将课堂过程中教师教学设计内容的认知水平问题按照四何问题模型进行分类，呈现提问次数与提问占比，支持将每个提问进行转写并判断问题类型及是否应答。</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7.课堂高频词分析：支持通过进行课堂语音识别，抓取授课过程中出现的高频词汇，并统计出现频次，判断课堂教学重点；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8.课堂语气词分析：支持通过进行课堂语音识别，判断老师教学过程中出现的常规语气词出现频次，如“呐”，“嘛”，等语气词，辅助老师调整教学过程中的不良习惯。</w:t>
            </w:r>
            <w:r/>
          </w:p>
        </w:tc>
      </w:tr>
      <w:tr>
        <w:trPr>
          <w:trHeight w:val="90"/>
        </w:trPr>
        <w:tc>
          <w:tcPr>
            <w:shd w:val="clear" w:color="auto" w:fill="ffffff"/>
            <w:tcW w:w="50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ffffff"/>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智慧教学应用平台</w:t>
            </w:r>
            <w:r/>
          </w:p>
        </w:tc>
        <w:tc>
          <w:tcPr>
            <w:shd w:val="clear" w:color="auto" w:fill="ffffff"/>
            <w:tcW w:w="3694"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一、用户工作台</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1）个人信息：支持用户对头像、姓名、性别、邮箱、出生日期、手机号码、通信地址、简介、学历、职称、执教学科、荣誉、登录密码、第三方账号绑定等个人资料进行查看和修改。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2）教学日程：支持通览该用户在平台中参与的各业务开展情况，以日历方式直观呈现，点击某一教学日程可快速进入对应功能模块。</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3）快捷入口：支持将平台功能分列呈现，教学项和教研项方便用户快速进入课表、视频、专辑、资源、在线学堂、收藏、教研活动、评审活动、磨课备课、教学督导等功能模块，快速开展在线应用。（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4）待办任务：支持通览该用户在平台中已参与的业务活动，以列表方式按即将逾期的状态降序排序直观呈现，点击某一待办任务可快速进入对应功能模块。</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5）我的课表：支持用户自我管理教学计划课表，课表内支持自定义课程名称、封面、主讲人、时间段、学段学科等基础信息并可上传附件。课表内授课形式支持普通直播课、校内互动课。</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我的资源：支持通览用户上传的所有资源，并以列表形式直观展示资源名称、类型、观看权限、章节目录、审核状态、允许下载、上传日期等信息。提供用户自主上传资源功能入口，方便用户快捷上传个人资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7）我的收藏：支持通览用户在我的视频、我的专辑、教学督导、评审活动、在线学堂、校园电视等功能处收藏的资源，提供快速查询和分类筛选功能，点击某一资源即可快速查看其详情。</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8）我的视频：支持用户打造个人视频管理空间，包含自主上传教学视频或通过平台录播课归档的课程视频，支持关联视频附件文档、设置知识点、微能力、教学环节、是否AI行为分析、填写教学反馈与活动掠影。（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在线学堂：支持用户查看自主创建或所处教学班的学习课程，并可查看课程所有人与权限，页面提供编辑与查看学习统计按钮方便快速进行过程处理与结果导出，并支持对自己创建的课程快速取消发布与删除。</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二、教学资源服务系统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校本资源库：平台支持汇聚本校内微课视频、练习题、课件、教学设计、学案、素材、试卷、备课包等不同类型的教学资源；支持用户进行上传、管理、推荐教学资源，形成校本资源库。校本资源库支持按照学段、学科、教材版本、年级等维度分类归档，并支持下载资源内容使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2)资源统计：平台支持按推荐资源、热门资源、资源动态、排行榜等归类统计教学资源，同时支持资源总数与近一个月更新数量统计。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3)教材信息：平台支持在选择学段、学科、教材版本后，自动呈现对应的教学资源列表。</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4)试题资源类型：试题资源需涵盖单选、多选、判断、解答、阅读、材料等多种类型，并按照基础、中等、较难、拓展等难度级别进行分类，方便教师进行选题出卷时筛选对应题目。（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5)题目解析：支持查看对应题目的答案解析，方便教师快速了解题目考察知识点。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6)资源预览：支持在平台点击打开对应资源进行预览，预览时文件自动转为pdf格式在平台呈现，防止误修改。支持预览过程中的资源画面自动/手动缩放、上下翻页等操作。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7)资源评价：支持对每份资源进行查看时进行资源评分，以星级评定的方式评定资源的优劣，方便学校教师快速选择公共评定的优质资源。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8)资源检索：支持输入资源关键字进行资源检索，快速查找相应资源进行应用。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9)资源使用统计：支持自动统计每份资源的使用次数和收藏次数，方便学校老师及时了解资源热度进行筛选。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个人资源上传：支持用户自主上传个人制作教学资源，形成个人资源文件空间。资源文件类型应支持文档、视频、压缩包、表格等不同类型，并支持按照题库、课件、题组、试卷、教学设计、教案、微课等分类归档至我的资源当中。</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11)个人资源分组：支持创建个人资源分组，自定义分组名称以及上传或移动对应教学资源加入分组，方便学校教师按班级、年级等分类自行管理个人教学资源。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12)资源收藏：支持对学校资源库中的教学资源进行收藏，保存至平台个人资源空间中。并支持从个人资源空间中直接调用。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三、课程教学系统</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1)课表排课：支持提供教师个人课表排课进行辅助教学。教师个人课表可由学校管理员统一推送，并支持教师在课表中查看自己的课程信息，同时支持教师根据实际情况在原基础上进行自主排课，自主排课的课程支持调课、修改时间、删除等管理操作。支持自定义排课周数来快速完成整个学期的排课计划。（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2)课节时间：支持管理员自定义设置、修改课节时间，贴合不同地学校或不同季节的开课时间安排。</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3)排课类型：支持普通直播、校内互动两种排课类型。校内课程在校内课表进行排课，本校本地自主开课。</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4)排课录制：支持在排课时进行课堂录制预约，默认设置所排课程对应的课节时间作为录制预约时间，进行录制预约登记。录制视频统一归档至平台个人视频空间。</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5)授课统计：支持教师通过个人课表查看个人授课统计，统计内容须包括教学受益学生人数、计划课时、应授课时、实开课时等信息。</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6)教学备课辅助：支持关联课表进行备课，课前上传备课课件、布置预习任务、随堂测试试卷等。同时支持布置课后作业以及课后辅导任务，并进行备课总结反思。</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7)备课资源：支持备课活动中从学校资源库中下载相应备课资源，或自行上传本地资源。</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8)预习分析：支持学校教师备课室发布课前预习，预习内容包括教学图片、教学文件、试题等不同类型。并支持自定义预习发布对象、预习截止时间。到达预习截止时间后，学校平台自动统计提交情况生成预习报告，支持学校教师查看预习报告详情，包括预习作答提交情况（提交人姓名、提交时间、预习正确率）、班级作答题目正确率等，方便老师了解学生课前预习掌握情况进行针对性教学。（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9)随堂测试：支持设置随堂测试试题，在智慧课堂教学过程中可调取随堂测试试题进行测试。</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课后作业/辅导：支持学校教师布置课后作业/辅导，内容包括教学图片、教学文件、试题等不同类型。并支持自定义作业/辅导发布对象、提交截止时间等。到达截止时间后，到达预习截止时间后，学校平台自动统计提交情况生成作业/辅导报告，支持学校教师查看报告详情，包括作业/辅导作答提交情况（提交人姓名、提交时间、预习正确率）、班级作答题目正确率等，方便老师了解学生课后作业/辅导掌握情况。</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11)数据分析：支持对预习、课堂测验、作业等的数据统计，形成以班级和个人为单位的学情分析。可同时支持多个活动的分析内容保存，并支持分析报告下载导出。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12)错题集：支持按照错误率筛选预习、作业、辅导中的错题题目形成错题集题库，并支持多选下载导出，方便学校教师使用错题进行针对性的测试。</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13)备课教学视频归档：支持已备课课堂的教学录制视频自动上传归档至对应备课活动，方便学校老师、教研组进行磨课备课分析应用。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14)备课模式：支持教师自主备课、校内集备两种备课模式。自主备课为教师个人备课；校内集备为校内同一年级学科教师的集体备课。</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15)视频归档：支持学校教师课表中预约录制视频的自动上传，归档至对应教师个人视频空间，并关联年级学科、录制时间、授课地点、视频时长等信息。</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16)视频上传：支持用户自主上传课程视频发布用于课程点播，可对上传视频自主添加知识点、教学环节、行为分析等类型标识，点播播放时可点击相应知识点、教学环节跳转至对应时间点视频进行播放。</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17)课程附件：支持在上传视频时同步上传课程附件，课程附件支持文档、图片、视频、压缩包等不同类型。附件上传后，在课程点播时支持同步下载。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198)视频检索：支持通过关键字、录制时间检索筛选相应视频。</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19)课程直播：支持按日历时间查看开课信息并点击进入课程直播，实时观看教学直播内容；同时支持呈现近期课表中的课程直播状态（正在直播、即将开始、直播回放等）。支持观看直播过程中进行直播评论，发表学习意见。</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四、学校教研活动系统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1)校级教研活动：支持创建、参与各年级、各学科的网络教研活动，支持自定义每个网络教研活动的展示封面、教研主题、教研内容，支持上传教研相关的视频、文档附件。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教研模式：支持直播观摩教研、点播观摩教研、互动教研三种方式。直播观摩教研面向实时授课直播画面进行观摩教研；点播观摩教研可获取平台录制教学视频进行点播观摩。互动教研可实现多终端实时音视频互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3)教研会控：进行互动教研会议时，创建者拥有“会控”权限，可在互动教研会议中进行画面、发言、参会人员管理等控制。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4)教研评分：创建主题教研后，支持自定义评分量表，在教研活动中根据打分量表进行教研观摩打分。</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5)教研互动：提供教研评论、教研笔记、教研评分、话题研讨四种教研互动方式。用户可在教研过程中发表评论，在线进行评论交互。以教研笔记的方式总结教研过程思想，形成教研总结。教研员可针对每个教研活动指定多个不同的“教研话题”，教研组成员可对话题进行进一步探讨。（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6)教研标记：支持在发布教研笔记的时候关联当前观看视频时间作为标识，后续查看教研笔记时点击即可跳转教研视频至对应时间点进行观看，方便教研总结时充分理解笔记发布者的想法。</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7)教研签到记录：支持记录统计教研参与签到人员，形成签到列表，便于教研活动的人员管理。签到列表需支持签到用户名、签到地点、签到时间、签退时间的关联统计展示。（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8)临时用户参与：所有人可见的教研活动支持非本平台的“临时用户”的参与，支持将临时用户参与的评论、话题研讨等数据保留到平台中。</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9)教研收藏：支持在教研活动界面点击收藏教研活动，收藏的教研活动可在个人账号下进行管理。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10)教研回顾：可以公开教研活动成果供用户对往届教研活动进行回顾。支持用户观看教研视频、查看教研笔记、查看评分结果，并下载各教研附件进行阅读和学习。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11)教研签到功能：支持手机微信扫描教研活动二维码，填写基本信息以及通过手机定位获取签到地点后完成签到，并记录教研平台签到列表。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12)教研点评功能：支持对参与的教研互动进行评论发表、教研话题研讨、以及评课评分等，便捷实现教研观摩中的评课讨论。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13)教研历史：支持记录参与的教研活动历史，方便查询回顾，有效保障教研质量。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14)关键字检索：支持通过关键字搜索相应网络教研活动。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15)教研活动筛选：支持按照学段、年级、学科分类标识教研活动，在活动列表界面可选择相应分类筛选对应教研活动。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16)教研排序：支持按照评论数、参与用户数、收藏数三种方式由高到低进行教研活动排序。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17)教研动态：支持活动首页显示实时教研活动动态，以标题滚动的方式进行循环播放，方便用户实时展示教研应用信息。</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18)教研活动统计：支持活动首页实时统计本校教研活动数据，包括但不限于已开展教研活动数量、已开展评审活动数量、参与用户数、教研员数量等信息。</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五、活动评审系统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1)整体功能：提供完整的评审流程和体系，包括活动创建、活动参与、活动评审、活动公示四个环节。</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2)活动创建：支持自定义活动名称、活动海报、活动封面、活动阶段（筹备、报名、评审、结束）、活动时间、活动介绍，支持自定义参赛作品的大小和视频长度限制。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3)支持设置活动当前阶段：包括四个阶段状态：筹备中、报名中、评审中、结束与公示。活动可根据预设的时间自动变更活动的当前阶段状态。</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4)活动评分设置：支持自定义活动评分准则、分值。预置一套与教学课程评比相关的评分准则，评分项可选用提前设置好的模板，也可自定义。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5)活动奖项设置：支持自定义活动奖项，支持按数量、比例进行得奖设置，如得分前2名为“一等奖”或得分前5%的为一等奖。</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6)评审活动陈列：支持主页陈列当前所有正在开展的评审活动，可查看到每个活动的主题、主办方、活动时间、当前作品数量。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活动介绍：每个评审活动提供单独的活动空间，在活动空间中可查看到活动的基本信息，包括活动主题、时间、主办方、作品上传要求、活动介绍、参赛指南等。提供活动附件上传与下载功能，如报名表、活动文件、评审指标等，参赛人员、评审专家可通过平台下载相关活动附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活动参与：参赛者可通过活动入口参与评审活动，提供完整的活动报名信息输入机制，包括作品信息、作者（参赛人）信息、参赛人单位信息等。支持多个作者联合参赛，分别录入第一作者、第二作者、第三作者信息。</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9)自定义作品信息：支持参赛者自定义参赛作品名称、封面、作品介绍，支持参赛者上传视频作品、教学设计、课件等参赛相关作品内容。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活动评审：支持创建评审多个评审分组，如语文组、数学组、英语组等。支持预设每个分组内的评审专家、老师。支持对每个评审活动指定分组、评审专家进行评审任务分配。评审人员在个人空间可实时查看到自己的评审任务，可直接进入任务参与活动评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活动时间提醒：支持活动时间提醒功能，根据每个活动的进度阶段显示不同的时间提醒。活动筹备阶段则显示“距报名开始的剩余时间”，活动报名阶段则显示“距报名结束的剩余时间”，评审阶段则显示“距评审结束的剩余时间”。</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12)活动公示：支持自定义是否展示评审活动结果，可在平台内展示所有作品的评比结果，获奖情况等信息。</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13)活动搜索：提供活动搜索功能，可直接通过活动名称或者关键进行活动快速检索。</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六、磨课备课系统</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▲1) 整体功能：支持关联课表进行备课，课前上传备课课件、布置预习任务、随堂测试试卷等。同时支持布置课后作业以及课后辅导任务，并进行备课总结反思。（提供产品功能截图，加盖投标人公章）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2)备课模式：支持教师自主备课、校内集备两种备课模式。自主备课为教师个人备课；校内集备为校内同一年级学科教师的集体备课。</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3)权限设置：用户可针对不同的观看权限和备课权限设置不同的公开范围，备课权限是可以针对该磨课备课上传对应的备课资料的；观看权限仅限于用户可以查看这个磨课备课的内容。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4)备课资源：支持备课活动中从学校资源库中下载相应备课资源，或自行上传本地资源。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预习分析：支持学校教师备课室发布课前预习，预习内容包括教学图片、教学文件、试题等不同类型。并支持自定义预习发布对象、预习截止时间。到达预习截止时间后，学校平台自动统计提交情况生成预习报告，支持学校教师查看预习报告详情，包括预习作答提交情况（提交人姓名、提交时间、预习正确率）、班级作答题目正确率等，方便老师了解学生课前预习掌握情况进行针对性教学。</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6)课堂练习：支持设置随堂测试试题，在智慧课堂教学过程中可调取随堂测试试题进行测试。</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课后作业/辅导：支持学校教师布置课后作业/辅导，内容包括教学图片、教学文件、试题等不同类型。并支持自定义作业/辅导发布对象、提交截止时间等。到达截止时间后，到达预习截止时间后，学校平台自动统计提交情况生成作业/辅导报告，支持学校教师查看报告详情，包括作业/辅导作答提交情况（提交人姓名、提交时间、预习正确率）、班级作答题目正确率等，方便老师了解学生课后作业/辅导掌握情况。</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8)数据分析：支持对预习、课堂测验、作业等的数据统计，形成以班级和个人为单位的学情分析。可同时支持多个活动的分析内容保存，并支持分析报告下载导出。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9)错题集：支持按照错误率筛选预习、作业、辅导中的错题题目形成错题集题库，并支持多选下载导出，方便学校教师使用错题进行针对性的测试。</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▲10)备课包：支持把备课中的课件和课中的视频作为一个备课包分享到校本资源中，方便学校形成自己独特的校本备课包资源，保存各科目老师的备课资源。（提供产品功能截图，加盖投标人公章）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七、教学督导系统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1)整体功能：提供完整的教学督导流程和体系，包括教学督导活动创建、督导员参与课程督导、形成督导报告。</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2)创建督导：支持用户创建督导教学活动，选择校内课程作为督导内容，指定本次督导活动的督导教师，自定义评价量表信息。</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3)课程报送：支持用户自主报送，查看自己的所有课表课程并进行勾选，即可参与教学督导活动。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参与督导：支持有督导任务的用户进入任务详情查看已开课的课程，用户可看到该课程的视频画面，对课堂进行评分与评价。同时支持随堂拍照，用户可截取当前课堂画面，进行文字备注，成功保存的截图可在图片库进行查看与编辑。</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5)督导报告：支持教学督导创建者查看当前督导活动的完成情况，并支持查看、导出督导课程的课程联合报告和督导员报告。</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八、在线学堂系统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点播资源颗粒度管理：支持视频资源多维度分类管理，支持视频按学段（小学、初中、高中等）、学科、专题等维度进行归档管理。支持用户自定义每个视频的简介和封面，以人性化方式呈现每个视频的个性化展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课程管理：支持教师用户自主创建教学课程，根据教学计划添加课程目录形成多个课节，并上传每个课节的教学视频以及教学附件。支持设置课程观看权限（仅自己可见、班级公开、所有人公开等），自主选择课程发布对象。</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▲3)进度条控制：支持对课程的上传视频进行进度条控制，确保学生用户在学习课程的过程中无法拖动进度条进行快速刷课。（提供产品功能截图，加盖投标人公章）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4)课程目录：支持在专题课程点播界面呈现本专题下的课程目录列表，可按列表顺序自动切换播放，同时支持点击目录列表中的视频名称自行切换课程。</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课程点播：发布课程支持进行点播，支持在点播观看页面支持将点播地址分享至微信、QQ、新浪微博等社交平台中。同时支持提供二维码供手机进行扫码点播观看。同时支持显示本课程共同学习的学生名单，加强沟通交流。</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6)课程附件下载：支持课程附件同步下载，配套学习资料提高自主学习效率。</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7)视频榜单推荐：提供“最新”、“最热”榜单，学校内优质的视频文件自动按照最新发布、观看人数最多的分类逻辑归档到榜单中，便于学生、老师快速查看到优质的视频。</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8)视频检索：支持通过课程名称或者教师名称检索课程视频，方便用户快速检索所需视频进行点播学习。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9)学生学习空间：为学生用户提供个人学习空间，用户自主点播学习课程以及班级推送课程，并同步显示学习进度。</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10)课程收藏管理：支持课程收藏管理，收藏课程按照收藏日期排序显示。可点击进入相应收藏课程进行学习或者取消收藏课程。</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九、校园文化建设系统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1)校园频道直播：支持自定义创建不同类型教学直播频道，进行校园节目实时直播，并支持在观看直播的过程中进行评论互动，有效丰富校园德育文化建设。</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2)校园频道切换：支持校园电视台首页实时获取校园频道直播状态，将直播中的校园频道形成频道列表，在校园频道观看直播时可通过点击频道名称进行自由切换。</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3)校园资源：支持自定义不同校园资源类型，上传相关视频资源文件，有效开展课教文卫等课外知识宣传，全面提升学生素养。</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十、校园在线巡课系统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1）支持通过平台进行本校课程直播视频调取，在线观看开课现场画面。同时可支持课程主讲人、主讲班级、课程直播时间等相关信息展示。</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2）课堂列表：支持后台根据学校实际教学楼、班级分布情况进行信息输入，使得在巡课界面可调出课堂列表，且列表应根据学校课堂实际分布情况进行呈现，可自定义包括课堂教室名称、所属楼层、所属教学楼、所属校区等4级呈现。（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3)支持在巡课界面通过教室列表自由切换巡课教室，从而实现对多个教室的远程直播巡课。</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4）在线显示：支持仅显示当前在线的录播教室列表。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5）常用教室：支持将巡课教室进行分组，根据分组快捷选择课室进行巡课。</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▲6）场景收藏：支持每位用户将当前画面布局及巡课教室进行收藏，巡课专家点击收藏的场景可快速将巡课教室布局在画面中。（提供产品功能截图，加盖投标人公章）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7）画面布局：支持1分屏、2分屏、4分屏、6分屏、9分屏、10分屏六种巡课画面布局，每个分屏可直接拖拽教室信号进行巡课。</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8）画面拍照：支持对当前巡课画面进行拍照留存于图片库中，提供大图预览、图片下载、图片删除等多种管理功能。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十一、教师积分系统</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1）整体功能：平台支持教师积分系统，管理员可以通过自定义统计维度和积分模版自定义积分规则，实现教师用户在平台开展教学活动时自动生成积分统计，积分可以按维度、类别、级别进行展示，高效辅助管理者开展教师评价。（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2）无感积分：支持通过积分规则和积分模版对平台上的教师行为进行无感采集并累计积分。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3）查看积分：用户可在工作台模块查看总积分、具体获取积分的时间及来源。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4）申请积分：支持用户在积分系统自主申请积分，审核通过后即可获取对应的积分。5）审核积分：支持拥有审核权限的用户直接审核教师提交的积分申请。</w:t>
            </w:r>
            <w:r/>
          </w:p>
        </w:tc>
      </w:tr>
      <w:tr>
        <w:trPr>
          <w:trHeight w:val="90"/>
        </w:trPr>
        <w:tc>
          <w:tcPr>
            <w:shd w:val="clear" w:color="auto" w:fill="ffffff"/>
            <w:tcW w:w="50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auto" w:fill="ffffff"/>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平台服务器</w:t>
            </w:r>
            <w:r/>
          </w:p>
        </w:tc>
        <w:tc>
          <w:tcPr>
            <w:shd w:val="clear" w:color="auto" w:fill="ffffff"/>
            <w:tcW w:w="3694"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1.CPU：≥2颗多核处理器（单颗处理器核心数≥18核，线程数≥36线程，主频≥2.0GHz），支持多线程并行计算与高负载任务处理。</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2.内存：≥128GB DDR4（兼容DDR4标准，频率≥2666MHz），保障多用户并发访问与大数据量处理的稳定性。</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3.硬盘：≥48TB存储容量（支持SATA/SAS接口硬盘扩展），满足校本4.资源库、课堂视频归档、AI分析数据等海量数据的长期存储需求。</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5.磁盘阵列：支持RAID 0、RAID 1、RAID 10等主流磁盘阵列模式，提供数据冗余保护与读写性能优化（可选配RAID卡，支持热插拔硬盘）。</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6.网络：≥2个千兆以太网卡（10M/100M/1000Mbps自适应），支持双网卡绑定或负载均衡，保障平台数据传输的稳定性与高并发访问能力。</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7.电源：双电源冗余配置（支持热插拔），单电源功率≥500W（总功率≥1000W），确保服务器在单电源故障时仍可持续稳定运行。</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操作系统：支持主流64位服务器操作系统（如国产操作系统、Linux发行版或Windows Server等），需兼容平台软件部署要求（具体操作系统版本由中标方根据技术适配性提供）。</w:t>
            </w:r>
            <w:r/>
          </w:p>
        </w:tc>
      </w:tr>
      <w:tr>
        <w:trPr>
          <w:trHeight w:val="474"/>
        </w:trPr>
        <w:tc>
          <w:tcPr>
            <w:gridSpan w:val="3"/>
            <w:shd w:val="clear" w:color="auto" w:fill="auto"/>
            <w:tcW w:w="5000"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三、无感扩声</w:t>
            </w:r>
            <w:r/>
          </w:p>
        </w:tc>
      </w:tr>
      <w:tr>
        <w:trPr>
          <w:trHeight w:val="90"/>
        </w:trPr>
        <w:tc>
          <w:tcPr>
            <w:shd w:val="clear" w:color="auto" w:fill="ffffff"/>
            <w:tcW w:w="50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ffffff"/>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音频处理器</w:t>
            </w:r>
            <w:r/>
          </w:p>
        </w:tc>
        <w:tc>
          <w:tcPr>
            <w:shd w:val="clear" w:color="auto" w:fill="ffffff"/>
            <w:tcW w:w="3694"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1、壁挂式设备，主机电源开关隐藏设计，未有任何裸露的连接线和接口，音频处理部分和功率放大器集成到一个机箱内。</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▲2、整机采用无风扇设计，运行时无任何噪音。（提供产品功能截图，加盖投标人公章）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前面板具有≥3.5寸LCD液晶触摸显示屏，支持触摸操作，支持密码保护，液晶面板支持自动息屏功能，长时间无操作，即关闭屏幕显示，点击屏幕，则重新唤醒屏幕显示，内置控制软件，具有可编程功能，实现用户定制化需求。</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▲4、具有至少2路48V幻象供电麦克风输入，采用凤凰端子，集成UHF数字调制无线麦克风接收功能，具备≥1路接口同品牌无线麦克风音频输入，具备≥1路网络麦克风音频输入。</w:t>
            </w:r>
            <w:r>
              <w:rPr>
                <w:rFonts w:hint="eastAsia" w:ascii="Calibri" w:hAnsi="Calibri" w:eastAsia="宋体" w:cs="Times New Roman"/>
                <w:b/>
                <w:bCs/>
                <w:color w:val="000000"/>
                <w:sz w:val="24"/>
                <w:szCs w:val="24"/>
                <w:highlight w:val="none"/>
              </w:rPr>
              <w:t xml:space="preserve">（投标文件中提供具有CMA</w:t>
            </w:r>
            <w:r>
              <w:rPr>
                <w:rFonts w:hint="eastAsia" w:ascii="宋体" w:hAnsi="宋体" w:eastAsia="宋体" w:cs="宋体"/>
                <w:b/>
                <w:bCs/>
                <w:sz w:val="24"/>
                <w:szCs w:val="24"/>
                <w:highlight w:val="none"/>
              </w:rPr>
              <w:t xml:space="preserve">或CNAS</w:t>
            </w:r>
            <w:r>
              <w:rPr>
                <w:rFonts w:hint="eastAsia" w:ascii="Calibri" w:hAnsi="Calibri" w:eastAsia="宋体" w:cs="Times New Roman"/>
                <w:b/>
                <w:bCs/>
                <w:color w:val="000000"/>
                <w:sz w:val="24"/>
                <w:szCs w:val="24"/>
                <w:highlight w:val="none"/>
              </w:rPr>
              <w:t xml:space="preserve">标识的第三方检测机构出具的检测报告扫描件并加盖投标人公章）</w:t>
            </w:r>
            <w:r>
              <w:rPr>
                <w:rFonts w:hint="eastAsia" w:ascii="Calibri" w:hAnsi="Calibri" w:eastAsia="宋体" w:cs="Times New Roman"/>
                <w:b/>
                <w:bCs/>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5.无线麦克风和网络麦克风输入接口需采用RJ45网口，接口需采用一线通技术可同时传输音频、电源、控制信号。</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6.音频输入输出接口要求：支持≥4路音频输入，其中至少2路采用3.5mm接口；支持≥4路凤凰端子插座输出。</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7.具有1路USB声卡可直接对接电脑，电脑使用腾讯会议等会议软件时可直接选择该路声卡输入输出。</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8.具有≥1路USB控制面板接口，可外接控制面板实现一键上下课、音量控制、麦克风静音等功能。</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9.机身侧方具备接口可对液晶触摸屏进行定制化升级。</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10.具有≥2路RS-232接口，具有≥1路RS-485串行接口，具有≥2路的弱电IO接口，可帮助无中控教室进行设备控制。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11、可拓展物联控制功能，可实现教室灯光、窗帘、显示设备等统一控制。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12.系统须具备自检功能，在上课前对教室内扩声系统进行检测，能够精准的检测出话筒、音箱是否正常，能及时发现故障设备，保障正常教学活动，系统完成自检后平台能够实时显示故障问题。</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13.内置自适应音频处理算法，在</w:t>
            </w:r>
            <w:r>
              <w:rPr>
                <w:rFonts w:hint="eastAsia" w:ascii="宋体" w:hAnsi="宋体" w:eastAsia="宋体" w:cs="宋体"/>
                <w:sz w:val="24"/>
                <w:szCs w:val="24"/>
                <w:highlight w:val="none"/>
              </w:rPr>
              <w:t xml:space="preserve">不同场地均能实现自动校准，不需要复杂的声场设计，通过软件进行音频的调试，具体音频相关技术指标要求：反馈抑制（AFC）：传声增益提升幅度：≥15dB；自动增益控制（AGC）：增益控制幅度：-12dB - +12dB。自适应背景降噪（ANS）：信噪比提升≥18dB ；回声消除（AEC）：回音消除尾音长度：≥512ms，回声消除幅度：≥ 60dB，收敛速度：≥ 60dB/S ；信噪比：≥95dB，信号处理延时≤8ms ；本地扩声声场不均匀度≤5dB；所有音频处理部分的频率响应： 20Hz-20kHz（±3dB）；</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14.功率放大器的最大输出功率：≥2*150W。</w:t>
            </w:r>
            <w:r>
              <w:rPr>
                <w:rFonts w:hint="eastAsia" w:ascii="宋体" w:hAnsi="宋体" w:eastAsia="宋体" w:cs="宋体"/>
                <w:sz w:val="24"/>
                <w:szCs w:val="24"/>
                <w:highlight w:val="none"/>
              </w:rPr>
              <w:br/>
            </w:r>
            <w:r>
              <w:rPr>
                <w:rFonts w:hint="eastAsia" w:ascii="宋体" w:hAnsi="宋体" w:eastAsia="宋体" w:cs="宋体"/>
                <w:b/>
                <w:bCs/>
                <w:sz w:val="24"/>
                <w:szCs w:val="24"/>
                <w:highlight w:val="none"/>
              </w:rPr>
              <w:t xml:space="preserve">▲15、通过一只吊装麦克风实现全教室的扩音和远程互动，无扩声死角，本地扩音和远程互动能同时进行，并且相互不影响效果；本地扩音要求扩出来的声音清晰响亮、无啸叫，混响时间小于1秒；远程互动要求声音清晰、无噪声和回声，双端同时讲话无卡音、丢字、声音变小和失真现象。</w:t>
            </w:r>
            <w:r>
              <w:rPr>
                <w:rFonts w:hint="eastAsia" w:ascii="Calibri" w:hAnsi="Calibri" w:eastAsia="宋体" w:cs="Times New Roman"/>
                <w:b/>
                <w:bCs/>
                <w:color w:val="000000"/>
                <w:sz w:val="24"/>
                <w:szCs w:val="24"/>
                <w:highlight w:val="none"/>
              </w:rPr>
              <w:t xml:space="preserve">（投标文件中提供具有CMA</w:t>
            </w:r>
            <w:r>
              <w:rPr>
                <w:rFonts w:hint="eastAsia" w:ascii="宋体" w:hAnsi="宋体" w:eastAsia="宋体" w:cs="宋体"/>
                <w:b/>
                <w:bCs/>
                <w:sz w:val="24"/>
                <w:szCs w:val="24"/>
                <w:highlight w:val="none"/>
              </w:rPr>
              <w:t xml:space="preserve">或CNAS</w:t>
            </w:r>
            <w:r>
              <w:rPr>
                <w:rFonts w:hint="eastAsia" w:ascii="Calibri" w:hAnsi="Calibri" w:eastAsia="宋体" w:cs="Times New Roman"/>
                <w:b/>
                <w:bCs/>
                <w:color w:val="000000"/>
                <w:sz w:val="24"/>
                <w:szCs w:val="24"/>
                <w:highlight w:val="none"/>
              </w:rPr>
              <w:t xml:space="preserve">标识的第三方检测机构出具的检测报告扫描件并加盖投标人公章）</w:t>
            </w:r>
            <w:r>
              <w:rPr>
                <w:rFonts w:hint="eastAsia" w:ascii="Calibri" w:hAnsi="Calibri" w:eastAsia="宋体" w:cs="Times New Roman"/>
                <w:b/>
                <w:bCs/>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16.主机内置调试软件，支持4级抗混响功能，支持无线麦优先功能，支持麦克风信道调换。</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17.具有≥1路RJ45专用广播输入接口，可扩展 10/100M 网络音频模块, 模块采用ARM+DSP 构架，能接收网络音频数据流，转成模拟信号到音箱播放。</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18.具有对接配套的音频管理平台，可在平台查看设备实时输入输出音量电平，调整输入输出增益，均衡等参数；具备定时管理功能，可设置开启时间，具备本地升级和远程升级，具备对接教务课表系统，实现定时开关音频系统功能，可按课表自动执行系统开启和关闭。</w:t>
            </w:r>
            <w:r/>
          </w:p>
        </w:tc>
      </w:tr>
      <w:tr>
        <w:trPr>
          <w:trHeight w:val="90"/>
        </w:trPr>
        <w:tc>
          <w:tcPr>
            <w:shd w:val="clear" w:color="auto" w:fill="ffffff"/>
            <w:tcW w:w="50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ffffff"/>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高保真音箱</w:t>
            </w:r>
            <w:r/>
          </w:p>
        </w:tc>
        <w:tc>
          <w:tcPr>
            <w:shd w:val="clear" w:color="auto" w:fill="ffffff"/>
            <w:tcW w:w="3694"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1.频率响应：80Hz-18KHz（±3dB）。</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2.额定阻抗：≤8Ω。</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3.总谐波失真（120Hz-20KHz频率范围内）：≤3%。</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4.特性灵敏度：≥88dB。</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5.长期最大功率：≥60W。</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6.高音单元：≥1吋。</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7.低音单元：≥4吋。</w:t>
            </w:r>
            <w:r/>
          </w:p>
        </w:tc>
      </w:tr>
      <w:tr>
        <w:trPr>
          <w:trHeight w:val="90"/>
        </w:trPr>
        <w:tc>
          <w:tcPr>
            <w:shd w:val="clear" w:color="auto" w:fill="ffffff"/>
            <w:tcW w:w="507"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ffffff"/>
            <w:tcW w:w="798"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扩声麦克风</w:t>
            </w:r>
            <w:r/>
          </w:p>
        </w:tc>
        <w:tc>
          <w:tcPr>
            <w:shd w:val="clear" w:color="auto" w:fill="ffffff"/>
            <w:tcW w:w="3694"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1.频率范围：20Hz-20KHz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2.灵敏度：≥-35dB（18mV/Pa）。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3.指向性：超心型。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4.最大声压级：≥135dB。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5.信噪比：≥75dB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6.供电电压：48V幻象电源供电。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7.抗手机、电磁、高频干扰。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8.有吊顶的教室使用吸顶麦克风拾音，吸顶麦克风露出部分不能超过8厘米，没有吊顶的教室使用吊装麦克风，麦克风最低处离地面至少3.5米（根据教室层高自行调整）。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b/>
                <w:bCs/>
                <w:sz w:val="24"/>
                <w:szCs w:val="24"/>
                <w:highlight w:val="none"/>
              </w:rPr>
              <w:t xml:space="preserve">▲内部嵌入数字麦克风软件（提供数字麦克风嵌入式软件的计算机软件著作权登记证书复印件加盖投标人公章）。</w:t>
            </w:r>
            <w:r/>
          </w:p>
        </w:tc>
      </w:tr>
    </w:tbl>
    <w:p>
      <w:pPr>
        <w:ind w:firstLine="482"/>
        <w:jc w:val="both"/>
        <w:keepLines/>
        <w:keepNext/>
        <w:spacing w:before="240" w:after="200"/>
        <w:widowControl w:val="off"/>
        <w:rPr>
          <w:rFonts w:ascii="Arial" w:hAnsi="Arial" w:eastAsia="Arial" w:cs="Arial"/>
          <w:b/>
          <w:sz w:val="32"/>
          <w:szCs w:val="40"/>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四、辅材、配件</w:t>
      </w:r>
      <w:r/>
    </w:p>
    <w:p>
      <w:pPr>
        <w:ind w:firstLine="480"/>
        <w:jc w:val="left"/>
        <w:spacing w:line="360" w:lineRule="auto"/>
        <w:rPr>
          <w:rFonts w:ascii="宋体" w:hAnsi="宋体" w:eastAsia="宋体" w:cs="Times New Roman"/>
          <w:sz w:val="24"/>
          <w:szCs w:val="24"/>
          <w:highlight w:val="none"/>
        </w:rPr>
      </w:pPr>
      <w:r/>
      <w:bookmarkStart w:id="25" w:name="OLE_LINK69"/>
      <w:r/>
      <w:bookmarkStart w:id="26" w:name="OLE_LINK70"/>
      <w:r/>
      <w:bookmarkStart w:id="27" w:name="OLE_LINK67"/>
      <w:r/>
      <w:bookmarkStart w:id="28" w:name="OLE_LINK68"/>
      <w:r>
        <w:rPr>
          <w:rFonts w:ascii="Times New Roman" w:hAnsi="Times New Roman" w:eastAsia="宋体" w:cs="Times New Roman"/>
          <w:sz w:val="24"/>
          <w:szCs w:val="24"/>
          <w:highlight w:val="none"/>
        </w:rPr>
        <w:t xml:space="preserve">硬件设备中包含本项目设备集成所需的所有配品、配件和以及网线、电源线等，若在具体实施时，所需配品配件及网线、电源线缺损时，由中标人负责增加解决。因不同投标人的设备设计原理未必完全相同，可视自身情况配置辅材，应能充分满足采购人需求的功能及参数要求。此部分包含在投标报价中。</w:t>
      </w:r>
      <w:bookmarkEnd w:id="25"/>
      <w:r/>
      <w:bookmarkEnd w:id="26"/>
      <w:r/>
      <w:bookmarkEnd w:id="27"/>
      <w:r/>
      <w:bookmarkEnd w:id="28"/>
      <w:r/>
      <w:r/>
    </w:p>
    <w:p>
      <w:pPr>
        <w:ind w:firstLine="482"/>
        <w:jc w:val="both"/>
        <w:keepLines/>
        <w:keepNext/>
        <w:spacing w:before="240" w:after="200"/>
        <w:widowControl w:val="off"/>
        <w:rPr>
          <w:rFonts w:ascii="Arial" w:hAnsi="Arial" w:eastAsia="Arial" w:cs="Arial"/>
          <w:b/>
          <w:sz w:val="32"/>
          <w:szCs w:val="40"/>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五、供货要求</w:t>
      </w:r>
      <w:r/>
    </w:p>
    <w:p>
      <w:pPr>
        <w:ind w:firstLine="480"/>
        <w:jc w:val="left"/>
        <w:spacing w:line="360" w:lineRule="auto"/>
        <w:rPr>
          <w:rFonts w:ascii="宋体" w:hAnsi="宋体" w:eastAsia="宋体" w:cs="Times New Roman"/>
          <w:b/>
          <w:bCs/>
          <w:sz w:val="24"/>
          <w:szCs w:val="24"/>
          <w:highlight w:val="none"/>
          <w:u w:val="single"/>
        </w:rPr>
      </w:pPr>
      <w:r>
        <w:rPr>
          <w:rFonts w:hint="eastAsia" w:ascii="宋体" w:hAnsi="宋体" w:eastAsia="宋体" w:cs="Times New Roman"/>
          <w:b/>
          <w:bCs/>
          <w:sz w:val="24"/>
          <w:szCs w:val="24"/>
          <w:highlight w:val="none"/>
          <w:u w:val="single"/>
        </w:rPr>
        <w:t xml:space="preserve">1.交货期：</w:t>
      </w:r>
      <w:r>
        <w:rPr>
          <w:rFonts w:hint="eastAsia" w:ascii="宋体" w:hAnsi="宋体" w:eastAsia="宋体" w:cs="Times New Roman"/>
          <w:b/>
          <w:bCs/>
          <w:sz w:val="24"/>
          <w:szCs w:val="24"/>
          <w:highlight w:val="none"/>
          <w:u w:val="single"/>
        </w:rPr>
        <w:t xml:space="preserve">合同签订后 </w:t>
      </w:r>
      <w:r>
        <w:rPr>
          <w:rFonts w:ascii="宋体" w:hAnsi="宋体" w:eastAsia="宋体" w:cs="Times New Roman"/>
          <w:b/>
          <w:bCs/>
          <w:sz w:val="24"/>
          <w:szCs w:val="24"/>
          <w:highlight w:val="none"/>
          <w:u w:val="single"/>
        </w:rPr>
        <w:t xml:space="preserve">6</w:t>
      </w:r>
      <w:r>
        <w:rPr>
          <w:rFonts w:hint="eastAsia" w:ascii="宋体" w:hAnsi="宋体" w:eastAsia="宋体" w:cs="Times New Roman"/>
          <w:b/>
          <w:bCs/>
          <w:sz w:val="24"/>
          <w:szCs w:val="24"/>
          <w:highlight w:val="none"/>
          <w:u w:val="single"/>
        </w:rPr>
        <w:t xml:space="preserve">0 日内完成安装调试，达到预期效果。</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2.交货方式：现场验收，按照教室布置全部安装、调试、放置到位。</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3.交货地点：</w:t>
      </w:r>
      <w:r>
        <w:rPr>
          <w:rFonts w:hint="eastAsia" w:ascii="宋体" w:hAnsi="宋体" w:eastAsia="宋体" w:cs="宋体"/>
          <w:color w:val="000000"/>
          <w:sz w:val="24"/>
          <w:highlight w:val="none"/>
        </w:rPr>
        <w:t xml:space="preserve">中标人负责将货物运到采购人指定地点，由中标人负责办理运输、装卸和安装、调试等，费用由中标人负责，由采购人组织验收，检验不合格或不符合质量要求，中标人除无条件退货、返工外，还应承担采购人的一切损失。</w:t>
      </w:r>
      <w:r/>
    </w:p>
    <w:p>
      <w:pPr>
        <w:ind w:firstLine="482"/>
        <w:jc w:val="both"/>
        <w:keepLines/>
        <w:keepNext/>
        <w:spacing w:before="240" w:after="200"/>
        <w:widowControl w:val="off"/>
        <w:rPr>
          <w:rFonts w:ascii="Arial" w:hAnsi="Arial" w:eastAsia="Arial" w:cs="Arial"/>
          <w:b/>
          <w:sz w:val="32"/>
          <w:szCs w:val="40"/>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六、安装调试要求</w:t>
      </w:r>
      <w:r/>
    </w:p>
    <w:p>
      <w:pPr>
        <w:ind w:firstLine="420"/>
        <w:spacing w:line="360" w:lineRule="auto"/>
        <w:widowControl w:val="off"/>
        <w:rPr>
          <w:rFonts w:ascii="宋体" w:hAnsi="宋体" w:eastAsia="宋体" w:cs="Times New Roman"/>
          <w:i w:val="0"/>
          <w:sz w:val="24"/>
          <w:szCs w:val="24"/>
          <w:highlight w:val="none"/>
          <w:u w:val="none"/>
          <w:lang w:val="en-US" w:eastAsia="zh-CN" w:bidi="ar-SA"/>
        </w:rPr>
      </w:pPr>
      <w:r>
        <w:rPr>
          <w:rFonts w:hint="eastAsia" w:ascii="宋体" w:hAnsi="宋体" w:eastAsia="宋体" w:cs="Times New Roman"/>
          <w:i w:val="0"/>
          <w:sz w:val="24"/>
          <w:szCs w:val="24"/>
          <w:highlight w:val="none"/>
          <w:u w:val="none"/>
          <w:lang w:val="en-US" w:eastAsia="zh-CN" w:bidi="ar-SA"/>
        </w:rPr>
        <w:t xml:space="preserve">1、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中标人应对由于设计、工艺或材料的缺陷或故障负责。在未验收前，货物保管、安全均由中标人负责。</w:t>
      </w:r>
      <w:r/>
    </w:p>
    <w:p>
      <w:pPr>
        <w:ind w:firstLine="420"/>
        <w:spacing w:line="360" w:lineRule="auto"/>
        <w:widowControl w:val="off"/>
        <w:rPr>
          <w:rFonts w:ascii="宋体" w:hAnsi="宋体" w:eastAsia="宋体" w:cs="Times New Roman"/>
          <w:i w:val="0"/>
          <w:sz w:val="24"/>
          <w:szCs w:val="24"/>
          <w:highlight w:val="none"/>
          <w:u w:val="none"/>
          <w:lang w:val="en-US" w:eastAsia="zh-CN" w:bidi="ar-SA"/>
        </w:rPr>
      </w:pPr>
      <w:r>
        <w:rPr>
          <w:rFonts w:hint="eastAsia" w:ascii="宋体" w:hAnsi="宋体" w:eastAsia="宋体" w:cs="Times New Roman"/>
          <w:i w:val="0"/>
          <w:sz w:val="24"/>
          <w:szCs w:val="24"/>
          <w:highlight w:val="none"/>
          <w:u w:val="none"/>
          <w:lang w:val="en-US" w:eastAsia="zh-CN" w:bidi="ar-SA"/>
        </w:rPr>
        <w:t xml:space="preserve">2、所提供的技术资料完整正确，数据和资料准确无误，能够保证设备按时正确地安装、调试和验收，并能满足正常运行和维修保养的需要。货物送到采购人指定地点，并负责办理运输和装卸，费用由中标人负责。</w:t>
      </w:r>
      <w:r/>
    </w:p>
    <w:p>
      <w:pPr>
        <w:ind w:firstLine="420"/>
        <w:spacing w:line="360" w:lineRule="auto"/>
        <w:widowControl w:val="off"/>
        <w:rPr>
          <w:rFonts w:ascii="宋体" w:hAnsi="宋体" w:eastAsia="宋体" w:cs="Times New Roman"/>
          <w:i w:val="0"/>
          <w:sz w:val="24"/>
          <w:szCs w:val="24"/>
          <w:highlight w:val="none"/>
          <w:u w:val="none"/>
          <w:lang w:val="en-US" w:eastAsia="zh-CN" w:bidi="ar-SA"/>
        </w:rPr>
      </w:pPr>
      <w:r>
        <w:rPr>
          <w:rFonts w:hint="eastAsia" w:ascii="宋体" w:hAnsi="宋体" w:eastAsia="宋体" w:cs="Times New Roman"/>
          <w:i w:val="0"/>
          <w:sz w:val="24"/>
          <w:szCs w:val="24"/>
          <w:highlight w:val="none"/>
          <w:u w:val="none"/>
          <w:lang w:val="en-US" w:eastAsia="zh-CN" w:bidi="ar-SA"/>
        </w:rPr>
        <w:t xml:space="preserve">3、采购人使用该货物的任何一部分，当受第三方提出的侵犯其专利权、商标权或工业设计权的投诉时，一切后果由中标人负责。</w:t>
      </w:r>
      <w:r/>
    </w:p>
    <w:p>
      <w:pPr>
        <w:ind w:firstLine="420"/>
        <w:spacing w:line="360" w:lineRule="auto"/>
        <w:widowControl w:val="off"/>
        <w:rPr>
          <w:rFonts w:ascii="宋体" w:hAnsi="宋体" w:eastAsia="宋体" w:cs="Times New Roman"/>
          <w:i w:val="0"/>
          <w:sz w:val="24"/>
          <w:szCs w:val="24"/>
          <w:highlight w:val="none"/>
          <w:u w:val="none"/>
          <w:lang w:val="en-US" w:eastAsia="zh-CN" w:bidi="ar-SA"/>
        </w:rPr>
      </w:pPr>
      <w:r>
        <w:rPr>
          <w:rFonts w:hint="eastAsia" w:ascii="宋体" w:hAnsi="宋体" w:eastAsia="宋体" w:cs="Times New Roman"/>
          <w:i w:val="0"/>
          <w:sz w:val="24"/>
          <w:szCs w:val="24"/>
          <w:highlight w:val="none"/>
          <w:u w:val="none"/>
          <w:lang w:val="en-US" w:eastAsia="zh-CN" w:bidi="ar-SA"/>
        </w:rPr>
        <w:t xml:space="preserve">4、安装和调试：中标人按采购人要求时间及地点负责全过程的施工、安装、调试、试运行工作。</w:t>
      </w:r>
      <w:r/>
    </w:p>
    <w:p>
      <w:pPr>
        <w:ind w:firstLine="420"/>
        <w:spacing w:line="360" w:lineRule="auto"/>
        <w:widowControl w:val="off"/>
        <w:rPr>
          <w:rFonts w:ascii="宋体" w:hAnsi="宋体" w:eastAsia="宋体" w:cs="Times New Roman"/>
          <w:i w:val="0"/>
          <w:sz w:val="24"/>
          <w:szCs w:val="24"/>
          <w:highlight w:val="none"/>
          <w:u w:val="none"/>
          <w:lang w:val="en-US" w:eastAsia="zh-CN" w:bidi="ar-SA"/>
        </w:rPr>
      </w:pPr>
      <w:r>
        <w:rPr>
          <w:rFonts w:hint="eastAsia" w:ascii="宋体" w:hAnsi="宋体" w:eastAsia="宋体" w:cs="Times New Roman"/>
          <w:i w:val="0"/>
          <w:sz w:val="24"/>
          <w:szCs w:val="24"/>
          <w:highlight w:val="none"/>
          <w:u w:val="none"/>
          <w:lang w:val="en-US" w:eastAsia="zh-CN" w:bidi="ar-SA"/>
        </w:rPr>
        <w:t xml:space="preserve">5、实施进度要求：中标人进场施工要提供施工进度计划表，施工进度计划表需要需方确认。中标人保证项目实施的技术力量必须按时完工。</w:t>
      </w:r>
      <w:r/>
    </w:p>
    <w:p>
      <w:pPr>
        <w:ind w:firstLine="420"/>
        <w:spacing w:line="360" w:lineRule="auto"/>
        <w:widowControl w:val="off"/>
        <w:rPr>
          <w:rFonts w:ascii="宋体" w:hAnsi="宋体" w:eastAsia="宋体" w:cs="Times New Roman"/>
          <w:i w:val="0"/>
          <w:sz w:val="24"/>
          <w:szCs w:val="24"/>
          <w:highlight w:val="none"/>
          <w:u w:val="none"/>
          <w:lang w:val="en-US" w:eastAsia="zh-CN" w:bidi="ar-SA"/>
        </w:rPr>
      </w:pPr>
      <w:r>
        <w:rPr>
          <w:rFonts w:hint="eastAsia" w:ascii="宋体" w:hAnsi="宋体" w:eastAsia="宋体" w:cs="Times New Roman"/>
          <w:i w:val="0"/>
          <w:sz w:val="24"/>
          <w:szCs w:val="24"/>
          <w:highlight w:val="none"/>
          <w:u w:val="none"/>
          <w:lang w:val="en-US" w:eastAsia="zh-CN" w:bidi="ar-SA"/>
        </w:rPr>
        <w:t xml:space="preserve">6、施工安全要求：中标人在施工过程中，应严格遵守安全施工的相关规范，应按相应安全规程操作，如在施工过程中发生安全事故，责任由中标人自负。</w:t>
      </w:r>
      <w:r/>
    </w:p>
    <w:p>
      <w:pPr>
        <w:ind w:firstLine="420"/>
        <w:spacing w:line="360" w:lineRule="auto"/>
        <w:widowControl w:val="off"/>
        <w:rPr>
          <w:rFonts w:ascii="宋体" w:hAnsi="宋体" w:eastAsia="宋体" w:cs="Times New Roman"/>
          <w:i w:val="0"/>
          <w:sz w:val="24"/>
          <w:szCs w:val="24"/>
          <w:highlight w:val="none"/>
          <w:u w:val="none"/>
          <w:lang w:val="en-US" w:eastAsia="zh-CN" w:bidi="ar-SA"/>
        </w:rPr>
      </w:pPr>
      <w:r>
        <w:rPr>
          <w:rFonts w:hint="eastAsia" w:ascii="宋体" w:hAnsi="宋体" w:eastAsia="宋体" w:cs="Times New Roman"/>
          <w:i w:val="0"/>
          <w:sz w:val="24"/>
          <w:szCs w:val="24"/>
          <w:highlight w:val="none"/>
          <w:u w:val="none"/>
          <w:lang w:val="en-US" w:eastAsia="zh-CN" w:bidi="ar-SA"/>
        </w:rPr>
        <w:t xml:space="preserve">7、相关软件系统平台安装部署完成后，提供软件使用说明书并组织相关培训，软件系统平台自交付起12个月，完成功能性、兼容性、稳定性验收，形成应收意见，验收书双方共同签署。对于不满足要求的，提出整改，于整改完成后再重新进行验收，直至符合招标文件要求。</w:t>
      </w:r>
      <w:r/>
    </w:p>
    <w:p>
      <w:pPr>
        <w:ind w:firstLine="482"/>
        <w:jc w:val="both"/>
        <w:keepLines/>
        <w:keepNext/>
        <w:spacing w:before="240" w:after="200"/>
        <w:widowControl w:val="off"/>
        <w:rPr>
          <w:rFonts w:hint="eastAsia" w:ascii="宋体" w:hAnsi="宋体" w:eastAsia="宋体" w:cs="宋体"/>
          <w:b/>
          <w:sz w:val="24"/>
          <w:szCs w:val="24"/>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七、国家或行业相关规范标准</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中标人应保证对其提供的产品及其制造工艺享有完全的知识产权，对由此引1.法律法规与政府采购规范</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（1）《中华人民共和国政府采购法》；</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（2）《政府采购货物和服务招标投标管理办法》（财政部令第87号）；</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（3）《江苏省招标投标条例》；</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2.智慧教室建设与教育信息化技术标准</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（1）《智慧教室建设技术指南》</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（2）《中小学智慧教室功能配置要求》；</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（3）《教育信息化2.0行动计划》（教育部）中关于“智慧学习环境建设”“精准教学与教研”的相关要求；</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（4）《信息技术 学习、教育和培训 在线课程资源建设规范》（GB/T 36642-2018）（针对智慧教室中在线课程资源归档与共享功能）；</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（5）《多媒体教学环境设计要求》（GB/T 36447-2018）（聚焦智慧教室的声学、设备布局等物理环境设计）；</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3.网络安全与数据安全标准</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（1）《信息安全技术 网络安全等级保护基本要求》（GB/T 22239-2019）；</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（2）《教育移动互联网应用程序备案管理办法》（教育部，针对智慧教室平台的应用合规性）；</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（3）《信息技术 安全技术 个人信息保护规范》（GB/T 35273-2020）（保障师生课堂视频、行为数据的隐私安全）。</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4.音视频与教育装备技术标准</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（1）《视频安防监控数字视音频编解码技术要求》（SVAC标准，或《信息技术 视频编码》（GB/T 25724-2017））（针对录播系统的视频编码与清晰度要求）；</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（2）《音频系统工程技术规范》（GB/T 50371-2006）（针对无感扩声系统的声学指标，如混响时间、信噪比等）； </w:t>
      </w:r>
      <w:r/>
    </w:p>
    <w:p>
      <w:pPr>
        <w:jc w:val="left"/>
        <w:spacing w:line="360" w:lineRule="auto"/>
        <w:rPr>
          <w:rFonts w:ascii="Times New Roman" w:hAnsi="Times New Roman" w:eastAsia="宋体" w:cs="Times New Roman"/>
          <w:color w:val="000000"/>
          <w:sz w:val="24"/>
          <w:szCs w:val="24"/>
          <w:highlight w:val="none"/>
        </w:rPr>
      </w:pPr>
      <w:r>
        <w:rPr>
          <w:rFonts w:hint="eastAsia" w:ascii="Calibri" w:hAnsi="Calibri" w:eastAsia="宋体" w:cs="Times New Roman"/>
          <w:b/>
          <w:bCs/>
          <w:color w:val="ff0000"/>
          <w:sz w:val="24"/>
          <w:szCs w:val="24"/>
          <w:highlight w:val="none"/>
        </w:rPr>
        <w:tab/>
      </w:r>
      <w:r>
        <w:rPr>
          <w:rFonts w:hint="eastAsia" w:ascii="Times New Roman" w:hAnsi="Times New Roman" w:eastAsia="宋体" w:cs="Times New Roman"/>
          <w:color w:val="000000"/>
          <w:sz w:val="24"/>
          <w:szCs w:val="24"/>
          <w:highlight w:val="none"/>
        </w:rPr>
        <w:t xml:space="preserve">包含但不限于上述国家或行业相关规范标准，合同履约期内如出现新的相关标准政策，则遵循最新要求。</w:t>
      </w:r>
      <w:r/>
    </w:p>
    <w:p>
      <w:pPr>
        <w:ind w:firstLine="482"/>
        <w:jc w:val="both"/>
        <w:keepLines/>
        <w:keepNext/>
        <w:spacing w:before="240" w:after="200"/>
        <w:widowControl w:val="off"/>
        <w:rPr>
          <w:rFonts w:ascii="Arial" w:hAnsi="Arial" w:eastAsia="Arial" w:cs="Arial"/>
          <w:b/>
          <w:sz w:val="32"/>
          <w:szCs w:val="40"/>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八、人员配备要求</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项目配备项目组成员不低于5名，至少包含1名项目负责人，项目组成员不低于4名（含维护期内维护人员）需具有本项目相关领域的专业知识、工作经验，与项目实施内容和要求相适应。负责所有设备安装、网络调试，质保期内售后服务等工作，同时配合学校做好验收工作。</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项目负责人：协调项目全过程的各项工作，把握项目进度、质量把控、产品验收、包装运输、指导安装、调试及验收等，有信息安全管理、网络调试及运行等相关经验，及时与采购人对接工作，指导项目团队成员认真完成每一项工作。</w:t>
      </w:r>
      <w:r/>
    </w:p>
    <w:p>
      <w:pPr>
        <w:ind w:firstLine="200"/>
        <w:jc w:val="both"/>
        <w:spacing w:line="360" w:lineRule="auto"/>
        <w:widowControl w:val="off"/>
        <w:rPr>
          <w:rFonts w:ascii="仿宋_GB2312" w:hAnsi="Times New Roman" w:eastAsia="仿宋_GB2312" w:cs="Times New Roman"/>
          <w:sz w:val="30"/>
          <w:szCs w:val="30"/>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项目组成人员需为专业人员且具有参与类似项目的经验，以保证项目实施质量。负责网络的运行维护，根据业务需求调整设备配置。负责网络系统的建设、维护与管理。</w:t>
      </w:r>
      <w:r/>
    </w:p>
    <w:p>
      <w:pPr>
        <w:ind w:firstLine="482"/>
        <w:jc w:val="both"/>
        <w:keepLines/>
        <w:keepNext/>
        <w:spacing w:before="240" w:after="200"/>
        <w:widowControl w:val="off"/>
        <w:rPr>
          <w:rFonts w:hint="eastAsia" w:ascii="宋体" w:hAnsi="宋体" w:eastAsia="宋体" w:cs="宋体"/>
          <w:b/>
          <w:sz w:val="24"/>
          <w:szCs w:val="24"/>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九、履约验收要求</w:t>
      </w:r>
      <w:r/>
    </w:p>
    <w:p>
      <w:pPr>
        <w:ind w:firstLine="480"/>
        <w:jc w:val="left"/>
        <w:spacing w:line="500" w:lineRule="exact"/>
        <w:rPr>
          <w:rFonts w:ascii="Times New Roman" w:hAnsi="Times New Roman" w:eastAsia="宋体" w:cs="Times New Roman"/>
          <w:sz w:val="24"/>
          <w:szCs w:val="24"/>
          <w:highlight w:val="none"/>
        </w:rPr>
      </w:pPr>
      <w:r/>
      <w:bookmarkStart w:id="29" w:name="OLE_LINK55"/>
      <w:r/>
      <w:bookmarkStart w:id="30" w:name="OLE_LINK56"/>
      <w:r/>
      <w:bookmarkStart w:id="31" w:name="OLE_LINK54"/>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、招标人以招标文件、中标人的投标文件、承诺、合同为依据，成立验收小组，负责对项目进行全面的验收。</w:t>
      </w:r>
      <w:r/>
    </w:p>
    <w:p>
      <w:pPr>
        <w:ind w:firstLine="480"/>
        <w:jc w:val="left"/>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rPr>
        <w:t xml:space="preserve">、货物的验收包括：数量、外观、质量、性能、包装等；所有设备和附（配）件应符合其规定的性能，无瑕疵和缺陷，质量为合格产品。中标人对质量问题负责包退、包换和包修，因此发生的费用由中标人自行负责。</w:t>
      </w:r>
      <w:r/>
    </w:p>
    <w:p>
      <w:pPr>
        <w:ind w:firstLine="480"/>
        <w:jc w:val="left"/>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0"/>
        <w:jc w:val="left"/>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货物到达招标人指定地点并安装、调试工作完成后，通知招标人，由招标人根据相关部门规定的验收方案，严格按照有关要求及标准，对整个项目进行验收；交付使用时要同时向采购人提供详细的技术文件、调试报告、安装记录、原厂保修卡、随机资料及配件。</w:t>
      </w:r>
      <w:r/>
    </w:p>
    <w:p>
      <w:pPr>
        <w:ind w:firstLine="480"/>
        <w:jc w:val="left"/>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中标人按合同约定履约完成全部项目，并满足使用要求，须及时向采购人或合同签订的甲方提交验收申请。合同签订的甲方（使用者）须进行初步验收，完全达到符合采购合同约定的验收条件时，再向验收小组申请正式验收。中标人须提交规范供货承诺书、合同签订的甲方（使用者）须向验收组提交规范验货承诺书。</w:t>
      </w:r>
      <w:bookmarkEnd w:id="29"/>
      <w:r/>
      <w:bookmarkEnd w:id="30"/>
      <w:r/>
      <w:bookmarkEnd w:id="31"/>
      <w:r/>
      <w:r/>
    </w:p>
    <w:p>
      <w:pPr>
        <w:ind w:firstLine="482"/>
        <w:jc w:val="both"/>
        <w:keepLines/>
        <w:keepNext/>
        <w:spacing w:before="240" w:after="200"/>
        <w:widowControl w:val="off"/>
        <w:rPr>
          <w:rFonts w:hint="eastAsia" w:ascii="宋体" w:hAnsi="宋体" w:eastAsia="宋体" w:cs="宋体"/>
          <w:b/>
          <w:sz w:val="24"/>
          <w:szCs w:val="24"/>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十、培训要求</w:t>
      </w:r>
      <w:r/>
    </w:p>
    <w:p>
      <w:pPr>
        <w:ind w:firstLine="480"/>
        <w:jc w:val="both"/>
        <w:spacing w:after="0" w:line="500" w:lineRule="exact"/>
        <w:widowControl/>
        <w:rPr>
          <w:rFonts w:ascii="Times New Roman" w:hAnsi="Times New Roman" w:eastAsia="宋体" w:cs="Times New Roman"/>
          <w:caps/>
          <w:sz w:val="24"/>
          <w:szCs w:val="22"/>
          <w:highlight w:val="none"/>
          <w:lang w:val="zh-CN" w:eastAsia="zh-CN" w:bidi="ar-SA"/>
        </w:rPr>
      </w:pPr>
      <w:r/>
      <w:bookmarkStart w:id="32" w:name="OLE_LINK65"/>
      <w:r/>
      <w:bookmarkStart w:id="33" w:name="OLE_LINK64"/>
      <w:r>
        <w:rPr>
          <w:rFonts w:hint="eastAsia" w:ascii="Times New Roman" w:hAnsi="Times New Roman" w:eastAsia="宋体" w:cs="Times New Roman"/>
          <w:caps/>
          <w:sz w:val="24"/>
          <w:szCs w:val="22"/>
          <w:highlight w:val="none"/>
          <w:lang w:val="zh-CN" w:eastAsia="zh-CN" w:bidi="ar-SA"/>
        </w:rPr>
        <w:t xml:space="preserve">为保证项目建设质量，更好地满足采购人的需要，制定以下培训方案要求：</w:t>
      </w:r>
      <w:r/>
    </w:p>
    <w:p>
      <w:pPr>
        <w:ind w:firstLine="480"/>
        <w:jc w:val="both"/>
        <w:spacing w:after="0" w:line="500" w:lineRule="exact"/>
        <w:widowControl/>
        <w:rPr>
          <w:rFonts w:ascii="Times New Roman" w:hAnsi="Times New Roman" w:eastAsia="宋体" w:cs="Times New Roman"/>
          <w:caps/>
          <w:sz w:val="24"/>
          <w:szCs w:val="22"/>
          <w:highlight w:val="none"/>
          <w:lang w:val="zh-CN" w:eastAsia="zh-CN" w:bidi="ar-SA"/>
        </w:rPr>
      </w:pPr>
      <w:r>
        <w:rPr>
          <w:rFonts w:hint="eastAsia" w:ascii="Times New Roman" w:hAnsi="Times New Roman" w:eastAsia="宋体" w:cs="Times New Roman"/>
          <w:caps/>
          <w:sz w:val="24"/>
          <w:szCs w:val="22"/>
          <w:highlight w:val="none"/>
          <w:lang w:val="zh-CN" w:eastAsia="zh-CN" w:bidi="ar-SA"/>
        </w:rPr>
        <w:t xml:space="preserve">根据本项目实际建设详细内容及应用目标对采购人提供针对性的培训，通过培训使采购人系统管理员、技术人员及</w:t>
      </w:r>
      <w:r>
        <w:rPr>
          <w:rFonts w:hint="eastAsia" w:ascii="Times New Roman" w:hAnsi="Times New Roman" w:eastAsia="宋体" w:cs="Times New Roman"/>
          <w:caps/>
          <w:sz w:val="24"/>
          <w:szCs w:val="22"/>
          <w:highlight w:val="none"/>
          <w:lang w:val="en-US" w:eastAsia="zh-CN" w:bidi="ar-SA"/>
        </w:rPr>
        <w:t xml:space="preserve">设备使用</w:t>
      </w:r>
      <w:r>
        <w:rPr>
          <w:rFonts w:hint="eastAsia" w:ascii="Times New Roman" w:hAnsi="Times New Roman" w:eastAsia="宋体" w:cs="Times New Roman"/>
          <w:caps/>
          <w:sz w:val="24"/>
          <w:szCs w:val="22"/>
          <w:highlight w:val="none"/>
          <w:lang w:val="zh-CN" w:eastAsia="zh-CN" w:bidi="ar-SA"/>
        </w:rPr>
        <w:t xml:space="preserve">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记录等，此部分包含在投标报价中。</w:t>
      </w:r>
      <w:r/>
    </w:p>
    <w:p>
      <w:pPr>
        <w:ind w:firstLine="480"/>
        <w:jc w:val="both"/>
        <w:spacing w:after="0" w:line="500" w:lineRule="exact"/>
        <w:widowControl/>
        <w:rPr>
          <w:rFonts w:ascii="Times New Roman" w:hAnsi="Times New Roman" w:eastAsia="宋体" w:cs="Times New Roman"/>
          <w:caps/>
          <w:sz w:val="24"/>
          <w:szCs w:val="22"/>
          <w:highlight w:val="none"/>
          <w:lang w:val="zh-CN" w:eastAsia="zh-CN" w:bidi="ar-SA"/>
        </w:rPr>
      </w:pPr>
      <w:r>
        <w:rPr>
          <w:rFonts w:ascii="Times New Roman" w:hAnsi="Times New Roman" w:eastAsia="宋体" w:cs="Times New Roman"/>
          <w:caps/>
          <w:sz w:val="24"/>
          <w:szCs w:val="22"/>
          <w:highlight w:val="none"/>
          <w:lang w:val="zh-CN" w:eastAsia="zh-CN" w:bidi="ar-SA"/>
        </w:rPr>
        <w:t xml:space="preserve">1</w:t>
      </w:r>
      <w:r>
        <w:rPr>
          <w:rFonts w:hint="eastAsia" w:ascii="Times New Roman" w:hAnsi="Times New Roman" w:eastAsia="宋体" w:cs="Times New Roman"/>
          <w:caps/>
          <w:sz w:val="24"/>
          <w:szCs w:val="22"/>
          <w:highlight w:val="none"/>
          <w:lang w:val="zh-CN" w:eastAsia="zh-CN" w:bidi="ar-SA"/>
        </w:rPr>
        <w:t xml:space="preserve">、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firstLine="480"/>
        <w:jc w:val="both"/>
        <w:spacing w:after="0" w:line="500" w:lineRule="exact"/>
        <w:widowControl/>
        <w:rPr>
          <w:rFonts w:ascii="Times New Roman" w:hAnsi="Times New Roman" w:eastAsia="宋体" w:cs="Times New Roman"/>
          <w:caps/>
          <w:sz w:val="24"/>
          <w:szCs w:val="22"/>
          <w:highlight w:val="none"/>
          <w:lang w:val="zh-CN" w:eastAsia="zh-CN" w:bidi="ar-SA"/>
        </w:rPr>
      </w:pPr>
      <w:r>
        <w:rPr>
          <w:rFonts w:ascii="Times New Roman" w:hAnsi="Times New Roman" w:eastAsia="宋体" w:cs="Times New Roman"/>
          <w:caps/>
          <w:sz w:val="24"/>
          <w:szCs w:val="22"/>
          <w:highlight w:val="none"/>
          <w:lang w:val="zh-CN" w:eastAsia="zh-CN" w:bidi="ar-SA"/>
        </w:rPr>
        <w:t xml:space="preserve">2</w:t>
      </w:r>
      <w:r>
        <w:rPr>
          <w:rFonts w:hint="eastAsia" w:ascii="Times New Roman" w:hAnsi="Times New Roman" w:eastAsia="宋体" w:cs="Times New Roman"/>
          <w:caps/>
          <w:sz w:val="24"/>
          <w:szCs w:val="22"/>
          <w:highlight w:val="none"/>
          <w:lang w:val="zh-CN" w:eastAsia="zh-CN" w:bidi="ar-SA"/>
        </w:rPr>
        <w:t xml:space="preserve">、培训对象：培训对象包括但不限于以下人员：设备使用人员、系统运行维护管理人员等。</w:t>
      </w:r>
      <w:bookmarkEnd w:id="32"/>
      <w:r/>
      <w:bookmarkEnd w:id="33"/>
      <w:r/>
      <w:r/>
    </w:p>
    <w:p>
      <w:pPr>
        <w:ind w:firstLine="482"/>
        <w:jc w:val="both"/>
        <w:keepLines/>
        <w:keepNext/>
        <w:spacing w:before="240" w:after="200"/>
        <w:widowControl w:val="off"/>
        <w:rPr>
          <w:rFonts w:hint="eastAsia" w:ascii="宋体" w:hAnsi="宋体" w:eastAsia="宋体" w:cs="宋体"/>
          <w:b/>
          <w:sz w:val="24"/>
          <w:szCs w:val="24"/>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十一、售后服务要求</w:t>
      </w:r>
      <w:r/>
    </w:p>
    <w:p>
      <w:pPr>
        <w:ind w:firstLine="480"/>
        <w:jc w:val="left"/>
        <w:spacing w:line="360" w:lineRule="auto"/>
        <w:rPr>
          <w:rFonts w:ascii="宋体" w:hAnsi="宋体" w:eastAsia="宋体" w:cs="Times New Roman"/>
          <w:bCs/>
          <w:i/>
          <w:iCs/>
          <w:sz w:val="24"/>
          <w:szCs w:val="24"/>
          <w:highlight w:val="none"/>
          <w:u w:val="single"/>
        </w:rPr>
      </w:pPr>
      <w:r>
        <w:rPr>
          <w:rFonts w:hint="eastAsia" w:ascii="宋体" w:hAnsi="宋体" w:eastAsia="宋体" w:cs="Times New Roman"/>
          <w:b/>
          <w:bCs/>
          <w:sz w:val="24"/>
          <w:szCs w:val="24"/>
          <w:highlight w:val="none"/>
        </w:rPr>
        <w:t xml:space="preserve">★</w:t>
      </w:r>
      <w:r>
        <w:rPr>
          <w:rFonts w:hint="eastAsia" w:ascii="宋体" w:hAnsi="宋体" w:eastAsia="宋体" w:cs="Times New Roman"/>
          <w:bCs/>
          <w:i/>
          <w:iCs/>
          <w:sz w:val="24"/>
          <w:szCs w:val="24"/>
          <w:highlight w:val="none"/>
          <w:u w:val="single"/>
        </w:rPr>
        <w:t xml:space="preserve">1.</w:t>
      </w:r>
      <w:r>
        <w:rPr>
          <w:rFonts w:hint="eastAsia" w:ascii="Times New Roman" w:hAnsi="Times New Roman" w:eastAsia="宋体" w:cs="Times New Roman"/>
          <w:i/>
          <w:iCs/>
          <w:sz w:val="24"/>
          <w:szCs w:val="24"/>
          <w:highlight w:val="none"/>
          <w:u w:val="single"/>
        </w:rPr>
        <w:t xml:space="preserve">质保期：</w:t>
      </w:r>
      <w:r>
        <w:rPr>
          <w:rFonts w:hint="eastAsia" w:ascii="Times New Roman" w:hAnsi="Times New Roman" w:eastAsia="宋体" w:cs="Times New Roman"/>
          <w:i/>
          <w:iCs/>
          <w:sz w:val="24"/>
          <w:szCs w:val="24"/>
          <w:highlight w:val="none"/>
          <w:u w:val="single"/>
        </w:rPr>
        <w:t xml:space="preserve">3年。</w:t>
      </w:r>
      <w:r>
        <w:rPr>
          <w:rFonts w:hint="eastAsia" w:ascii="宋体" w:hAnsi="宋体" w:eastAsia="宋体" w:cs="Times New Roman"/>
          <w:bCs/>
          <w:i/>
          <w:iCs/>
          <w:sz w:val="24"/>
          <w:szCs w:val="24"/>
          <w:highlight w:val="none"/>
          <w:u w:val="single"/>
        </w:rPr>
        <w:t xml:space="preserve">质保期内，对由于所供货物本身质量的原因引起的问题由中标人负责维修，如因设备质量或机件故障不能正常工作需要维修的，所有因维修（包括更换设备）产生的费用由中标人负责；</w:t>
      </w:r>
      <w:r>
        <w:rPr>
          <w:rFonts w:hint="eastAsia" w:ascii="Times New Roman" w:hAnsi="Times New Roman" w:eastAsia="宋体" w:cs="Times New Roman"/>
          <w:i/>
          <w:iCs/>
          <w:sz w:val="24"/>
          <w:szCs w:val="24"/>
          <w:highlight w:val="none"/>
          <w:u w:val="single"/>
        </w:rPr>
        <w:t xml:space="preserve">对于采购方人为原因造成的故障，中标人只收取维保成本费用。</w:t>
      </w:r>
      <w:r/>
    </w:p>
    <w:p>
      <w:pPr>
        <w:ind w:firstLine="480"/>
        <w:spacing w:line="360" w:lineRule="auto"/>
        <w:rPr>
          <w:rFonts w:ascii="宋体" w:hAnsi="宋体" w:eastAsia="宋体" w:cs="Times New Roman"/>
          <w:bCs/>
          <w:i/>
          <w:iCs/>
          <w:sz w:val="24"/>
          <w:szCs w:val="24"/>
          <w:highlight w:val="none"/>
          <w:u w:val="single"/>
        </w:rPr>
      </w:pPr>
      <w:r>
        <w:rPr>
          <w:rFonts w:hint="eastAsia" w:ascii="宋体" w:hAnsi="宋体" w:eastAsia="宋体" w:cs="Times New Roman"/>
          <w:bCs/>
          <w:i/>
          <w:iCs/>
          <w:sz w:val="24"/>
          <w:szCs w:val="24"/>
          <w:highlight w:val="none"/>
          <w:u w:val="single"/>
        </w:rPr>
        <w:t xml:space="preserve">2.质保期内，为保证设备的正常运行，如果所供货物出现不能修复的故障时，中标人应在接到采购人通知后24小时内赶到现场进行检测维修。如设备故障在七个工作日未能维修好，中标人须提供同型号的设备供采购人使用，直至设备维修好后方才取回。如不能维修，则中标人负责更换。</w:t>
      </w:r>
      <w:r/>
    </w:p>
    <w:p>
      <w:pPr>
        <w:ind w:firstLine="480"/>
        <w:jc w:val="left"/>
        <w:spacing w:line="360" w:lineRule="auto"/>
        <w:rPr>
          <w:rFonts w:ascii="Times New Roman" w:hAnsi="Times New Roman" w:eastAsia="宋体" w:cs="Times New Roman"/>
          <w:i/>
          <w:iCs/>
          <w:color w:val="ff0000"/>
          <w:sz w:val="24"/>
          <w:szCs w:val="24"/>
          <w:highlight w:val="none"/>
          <w:u w:val="single"/>
        </w:rPr>
      </w:pPr>
      <w:r>
        <w:rPr>
          <w:rFonts w:hint="eastAsia" w:ascii="宋体" w:hAnsi="宋体" w:eastAsia="宋体" w:cs="Times New Roman"/>
          <w:bCs/>
          <w:i/>
          <w:iCs/>
          <w:sz w:val="24"/>
          <w:szCs w:val="24"/>
          <w:highlight w:val="none"/>
          <w:u w:val="single"/>
        </w:rPr>
        <w:t xml:space="preserve">3.质保期内，中标人需对应用软件进行实时更新升级。</w:t>
      </w:r>
      <w:r/>
    </w:p>
    <w:p>
      <w:pPr>
        <w:ind w:firstLine="482"/>
        <w:jc w:val="both"/>
        <w:keepLines/>
        <w:keepNext/>
        <w:spacing w:before="240" w:after="200"/>
        <w:widowControl w:val="off"/>
        <w:rPr>
          <w:rFonts w:hint="eastAsia" w:ascii="宋体" w:hAnsi="宋体" w:eastAsia="宋体" w:cs="宋体"/>
          <w:b/>
          <w:sz w:val="24"/>
          <w:szCs w:val="24"/>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十二、商品包装及快递包装要求</w:t>
      </w:r>
      <w:r/>
    </w:p>
    <w:p>
      <w:pPr>
        <w:ind w:firstLine="480"/>
        <w:jc w:val="left"/>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 xml:space="preserve">1.</w:t>
      </w:r>
      <w:r>
        <w:rPr>
          <w:rFonts w:hint="eastAsia" w:ascii="Times New Roman" w:hAnsi="Times New Roman" w:eastAsia="宋体" w:cs="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eastAsia="宋体" w:cs="Times New Roman"/>
          <w:bCs/>
          <w:sz w:val="24"/>
          <w:szCs w:val="24"/>
          <w:highlight w:val="none"/>
        </w:rPr>
        <w:t xml:space="preserve">2020</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123</w:t>
      </w:r>
      <w:r>
        <w:rPr>
          <w:rFonts w:hint="eastAsia" w:ascii="Times New Roman" w:hAnsi="Times New Roman" w:eastAsia="宋体" w:cs="Times New Roman"/>
          <w:bCs/>
          <w:sz w:val="24"/>
          <w:szCs w:val="24"/>
          <w:highlight w:val="none"/>
        </w:rPr>
        <w:t xml:space="preserve">号）文件执行。</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w:t>
      </w:r>
      <w:r>
        <w:rPr>
          <w:rFonts w:hint="eastAsia" w:ascii="Times New Roman" w:hAnsi="Times New Roman" w:eastAsia="宋体" w:cs="Times New Roman"/>
          <w:bCs/>
          <w:sz w:val="24"/>
          <w:szCs w:val="24"/>
          <w:highlight w:val="none"/>
        </w:rPr>
        <w:t xml:space="preserve">）商品包装层数不得超过</w:t>
      </w:r>
      <w:r>
        <w:rPr>
          <w:rFonts w:ascii="Times New Roman" w:hAnsi="Times New Roman" w:eastAsia="宋体" w:cs="Times New Roman"/>
          <w:bCs/>
          <w:sz w:val="24"/>
          <w:szCs w:val="24"/>
          <w:highlight w:val="none"/>
        </w:rPr>
        <w:t xml:space="preserve"> 3 </w:t>
      </w:r>
      <w:r>
        <w:rPr>
          <w:rFonts w:hint="eastAsia" w:ascii="Times New Roman" w:hAnsi="Times New Roman" w:eastAsia="宋体" w:cs="Times New Roman"/>
          <w:bCs/>
          <w:sz w:val="24"/>
          <w:szCs w:val="24"/>
          <w:highlight w:val="none"/>
        </w:rPr>
        <w:t xml:space="preserve">层，空隙率不大于</w:t>
      </w:r>
      <w:r>
        <w:rPr>
          <w:rFonts w:ascii="Times New Roman" w:hAnsi="Times New Roman" w:eastAsia="宋体" w:cs="Times New Roman"/>
          <w:bCs/>
          <w:sz w:val="24"/>
          <w:szCs w:val="24"/>
          <w:highlight w:val="none"/>
        </w:rPr>
        <w:t xml:space="preserve"> 40%</w:t>
      </w:r>
      <w:r>
        <w:rPr>
          <w:rFonts w:hint="eastAsia" w:ascii="Times New Roman" w:hAnsi="Times New Roman" w:eastAsia="宋体" w:cs="Times New Roman"/>
          <w:bCs/>
          <w:sz w:val="24"/>
          <w:szCs w:val="24"/>
          <w:highlight w:val="none"/>
        </w:rPr>
        <w:t xml:space="preserve">；</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3</w:t>
      </w:r>
      <w:r>
        <w:rPr>
          <w:rFonts w:hint="eastAsia" w:ascii="Times New Roman" w:hAnsi="Times New Roman" w:eastAsia="宋体" w:cs="Times New Roman"/>
          <w:bCs/>
          <w:sz w:val="24"/>
          <w:szCs w:val="24"/>
          <w:highlight w:val="none"/>
        </w:rPr>
        <w:t xml:space="preserve">）商品包装中铅、汞、镉、六价铬的总含量应不大于</w:t>
      </w:r>
      <w:r>
        <w:rPr>
          <w:rFonts w:ascii="Times New Roman" w:hAnsi="Times New Roman" w:eastAsia="宋体" w:cs="Times New Roman"/>
          <w:bCs/>
          <w:sz w:val="24"/>
          <w:szCs w:val="24"/>
          <w:highlight w:val="none"/>
        </w:rPr>
        <w:t xml:space="preserve">100mg/kg</w:t>
      </w:r>
      <w:r>
        <w:rPr>
          <w:rFonts w:hint="eastAsia" w:ascii="Times New Roman" w:hAnsi="Times New Roman" w:eastAsia="宋体" w:cs="Times New Roman"/>
          <w:bCs/>
          <w:sz w:val="24"/>
          <w:szCs w:val="24"/>
          <w:highlight w:val="none"/>
        </w:rPr>
        <w:t xml:space="preserve">；</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4</w:t>
      </w:r>
      <w:r>
        <w:rPr>
          <w:rFonts w:hint="eastAsia" w:ascii="Times New Roman" w:hAnsi="Times New Roman" w:eastAsia="宋体" w:cs="Times New Roman"/>
          <w:bCs/>
          <w:sz w:val="24"/>
          <w:szCs w:val="24"/>
          <w:highlight w:val="none"/>
        </w:rPr>
        <w:t xml:space="preserve">）商品包装印刷使用的油墨中挥发性有机化合物</w:t>
      </w:r>
      <w:r>
        <w:rPr>
          <w:rFonts w:ascii="Times New Roman" w:hAnsi="Times New Roman" w:eastAsia="宋体" w:cs="Times New Roman"/>
          <w:bCs/>
          <w:sz w:val="24"/>
          <w:szCs w:val="24"/>
          <w:highlight w:val="none"/>
        </w:rPr>
        <w:t xml:space="preserve">(VOCs)</w:t>
      </w:r>
      <w:r>
        <w:rPr>
          <w:rFonts w:hint="eastAsia" w:ascii="Times New Roman" w:hAnsi="Times New Roman" w:eastAsia="宋体" w:cs="Times New Roman"/>
          <w:bCs/>
          <w:sz w:val="24"/>
          <w:szCs w:val="24"/>
          <w:highlight w:val="none"/>
        </w:rPr>
        <w:t xml:space="preserve">含量应不大于</w:t>
      </w:r>
      <w:r>
        <w:rPr>
          <w:rFonts w:ascii="Times New Roman" w:hAnsi="Times New Roman" w:eastAsia="宋体" w:cs="Times New Roman"/>
          <w:bCs/>
          <w:sz w:val="24"/>
          <w:szCs w:val="24"/>
          <w:highlight w:val="none"/>
        </w:rPr>
        <w:t xml:space="preserve"> 5%</w:t>
      </w:r>
      <w:r>
        <w:rPr>
          <w:rFonts w:hint="eastAsia" w:ascii="Times New Roman" w:hAnsi="Times New Roman" w:eastAsia="宋体" w:cs="Times New Roman"/>
          <w:bCs/>
          <w:sz w:val="24"/>
          <w:szCs w:val="24"/>
          <w:highlight w:val="none"/>
        </w:rPr>
        <w:t xml:space="preserve">（以重量计）；</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5</w:t>
      </w:r>
      <w:r>
        <w:rPr>
          <w:rFonts w:hint="eastAsia" w:ascii="Times New Roman" w:hAnsi="Times New Roman" w:eastAsia="宋体" w:cs="Times New Roman"/>
          <w:bCs/>
          <w:sz w:val="24"/>
          <w:szCs w:val="24"/>
          <w:highlight w:val="none"/>
        </w:rPr>
        <w:t xml:space="preserve">）塑料材质商品包装上呈现的印刷颜色不得超过</w:t>
      </w:r>
      <w:r>
        <w:rPr>
          <w:rFonts w:ascii="Times New Roman" w:hAnsi="Times New Roman" w:eastAsia="宋体" w:cs="Times New Roman"/>
          <w:bCs/>
          <w:sz w:val="24"/>
          <w:szCs w:val="24"/>
          <w:highlight w:val="none"/>
        </w:rPr>
        <w:t xml:space="preserve"> 6 </w:t>
      </w:r>
      <w:r>
        <w:rPr>
          <w:rFonts w:hint="eastAsia" w:ascii="Times New Roman" w:hAnsi="Times New Roman" w:eastAsia="宋体" w:cs="Times New Roman"/>
          <w:bCs/>
          <w:sz w:val="24"/>
          <w:szCs w:val="24"/>
          <w:highlight w:val="none"/>
        </w:rPr>
        <w:t xml:space="preserve">色；</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6</w:t>
      </w:r>
      <w:r>
        <w:rPr>
          <w:rFonts w:hint="eastAsia" w:ascii="Times New Roman" w:hAnsi="Times New Roman" w:eastAsia="宋体" w:cs="Times New Roman"/>
          <w:bCs/>
          <w:sz w:val="24"/>
          <w:szCs w:val="24"/>
          <w:highlight w:val="none"/>
        </w:rPr>
        <w:t xml:space="preserve">）纸质商品包装应使用</w:t>
      </w:r>
      <w:r>
        <w:rPr>
          <w:rFonts w:ascii="Times New Roman" w:hAnsi="Times New Roman" w:eastAsia="宋体" w:cs="Times New Roman"/>
          <w:bCs/>
          <w:sz w:val="24"/>
          <w:szCs w:val="24"/>
          <w:highlight w:val="none"/>
        </w:rPr>
        <w:t xml:space="preserve"> 75%</w:t>
      </w:r>
      <w:r>
        <w:rPr>
          <w:rFonts w:hint="eastAsia" w:ascii="Times New Roman" w:hAnsi="Times New Roman" w:eastAsia="宋体" w:cs="Times New Roman"/>
          <w:bCs/>
          <w:sz w:val="24"/>
          <w:szCs w:val="24"/>
          <w:highlight w:val="none"/>
        </w:rPr>
        <w:t xml:space="preserve">以上的可再生纤维原料生产；</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7</w:t>
      </w:r>
      <w:r>
        <w:rPr>
          <w:rFonts w:hint="eastAsia" w:ascii="Times New Roman" w:hAnsi="Times New Roman" w:eastAsia="宋体" w:cs="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快递包装环保要求：</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w:t>
      </w:r>
      <w:r>
        <w:rPr>
          <w:rFonts w:hint="eastAsia" w:ascii="Times New Roman" w:hAnsi="Times New Roman" w:eastAsia="宋体" w:cs="Times New Roman"/>
          <w:bCs/>
          <w:sz w:val="24"/>
          <w:szCs w:val="24"/>
          <w:highlight w:val="none"/>
        </w:rPr>
        <w:t xml:space="preserve">）快递包装中重金属（铅、汞、镉、六价铬）总量应不大于</w:t>
      </w:r>
      <w:r>
        <w:rPr>
          <w:rFonts w:ascii="Times New Roman" w:hAnsi="Times New Roman" w:eastAsia="宋体" w:cs="Times New Roman"/>
          <w:bCs/>
          <w:sz w:val="24"/>
          <w:szCs w:val="24"/>
          <w:highlight w:val="none"/>
        </w:rPr>
        <w:t xml:space="preserve"> 100mg/kg</w:t>
      </w:r>
      <w:r>
        <w:rPr>
          <w:rFonts w:hint="eastAsia" w:ascii="Times New Roman" w:hAnsi="Times New Roman" w:eastAsia="宋体" w:cs="Times New Roman"/>
          <w:bCs/>
          <w:sz w:val="24"/>
          <w:szCs w:val="24"/>
          <w:highlight w:val="none"/>
        </w:rPr>
        <w:t xml:space="preserve">；</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）快递包装印刷使用的油墨中不应添加邻苯二甲酸酯，其挥发性有机化合物</w:t>
      </w:r>
      <w:r>
        <w:rPr>
          <w:rFonts w:ascii="Times New Roman" w:hAnsi="Times New Roman" w:eastAsia="宋体" w:cs="Times New Roman"/>
          <w:bCs/>
          <w:sz w:val="24"/>
          <w:szCs w:val="24"/>
          <w:highlight w:val="none"/>
        </w:rPr>
        <w:t xml:space="preserve">(VOCs)</w:t>
      </w:r>
      <w:r>
        <w:rPr>
          <w:rFonts w:hint="eastAsia" w:ascii="Times New Roman" w:hAnsi="Times New Roman" w:eastAsia="宋体" w:cs="Times New Roman"/>
          <w:bCs/>
          <w:sz w:val="24"/>
          <w:szCs w:val="24"/>
          <w:highlight w:val="none"/>
        </w:rPr>
        <w:t xml:space="preserve">含量应不大于</w:t>
      </w:r>
      <w:r>
        <w:rPr>
          <w:rFonts w:ascii="Times New Roman" w:hAnsi="Times New Roman" w:eastAsia="宋体" w:cs="Times New Roman"/>
          <w:bCs/>
          <w:sz w:val="24"/>
          <w:szCs w:val="24"/>
          <w:highlight w:val="none"/>
        </w:rPr>
        <w:t xml:space="preserve">5%</w:t>
      </w:r>
      <w:r>
        <w:rPr>
          <w:rFonts w:hint="eastAsia" w:ascii="Times New Roman" w:hAnsi="Times New Roman" w:eastAsia="宋体" w:cs="Times New Roman"/>
          <w:bCs/>
          <w:sz w:val="24"/>
          <w:szCs w:val="24"/>
          <w:highlight w:val="none"/>
        </w:rPr>
        <w:t xml:space="preserve">（以重量计）；</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3</w:t>
      </w:r>
      <w:r>
        <w:rPr>
          <w:rFonts w:hint="eastAsia" w:ascii="Times New Roman" w:hAnsi="Times New Roman" w:eastAsia="宋体" w:cs="Times New Roman"/>
          <w:bCs/>
          <w:sz w:val="24"/>
          <w:szCs w:val="24"/>
          <w:highlight w:val="none"/>
        </w:rPr>
        <w:t xml:space="preserve">）快递包装中使用纸基材的包装材料，纸基材中的有机氯的含量应不大于</w:t>
      </w:r>
      <w:r>
        <w:rPr>
          <w:rFonts w:ascii="Times New Roman" w:hAnsi="Times New Roman" w:eastAsia="宋体" w:cs="Times New Roman"/>
          <w:bCs/>
          <w:sz w:val="24"/>
          <w:szCs w:val="24"/>
          <w:highlight w:val="none"/>
        </w:rPr>
        <w:t xml:space="preserve"> 150 mg/kg</w:t>
      </w:r>
      <w:r>
        <w:rPr>
          <w:rFonts w:hint="eastAsia" w:ascii="Times New Roman" w:hAnsi="Times New Roman" w:eastAsia="宋体" w:cs="Times New Roman"/>
          <w:bCs/>
          <w:sz w:val="24"/>
          <w:szCs w:val="24"/>
          <w:highlight w:val="none"/>
        </w:rPr>
        <w:t xml:space="preserve">；</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4</w:t>
      </w:r>
      <w:r>
        <w:rPr>
          <w:rFonts w:hint="eastAsia" w:ascii="Times New Roman" w:hAnsi="Times New Roman" w:eastAsia="宋体" w:cs="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乙基</w:t>
      </w:r>
      <w:r>
        <w:rPr>
          <w:rFonts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5</w:t>
      </w:r>
      <w:r>
        <w:rPr>
          <w:rFonts w:hint="eastAsia" w:ascii="Times New Roman" w:hAnsi="Times New Roman" w:eastAsia="宋体" w:cs="Times New Roman"/>
          <w:bCs/>
          <w:sz w:val="24"/>
          <w:szCs w:val="24"/>
          <w:highlight w:val="none"/>
        </w:rPr>
        <w:t xml:space="preserve">）快递中使用的塑料包装袋不得使用聚氯乙烯作为原料，且原料应为单一材质制成，生物分解率大于</w:t>
      </w:r>
      <w:r>
        <w:rPr>
          <w:rFonts w:ascii="Times New Roman" w:hAnsi="Times New Roman" w:eastAsia="宋体" w:cs="Times New Roman"/>
          <w:bCs/>
          <w:sz w:val="24"/>
          <w:szCs w:val="24"/>
          <w:highlight w:val="none"/>
        </w:rPr>
        <w:t xml:space="preserve">60%</w:t>
      </w:r>
      <w:r>
        <w:rPr>
          <w:rFonts w:hint="eastAsia" w:ascii="Times New Roman" w:hAnsi="Times New Roman" w:eastAsia="宋体" w:cs="Times New Roman"/>
          <w:bCs/>
          <w:sz w:val="24"/>
          <w:szCs w:val="24"/>
          <w:highlight w:val="none"/>
        </w:rPr>
        <w:t xml:space="preserve">；</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6</w:t>
      </w:r>
      <w:r>
        <w:rPr>
          <w:rFonts w:hint="eastAsia" w:ascii="Times New Roman" w:hAnsi="Times New Roman" w:eastAsia="宋体" w:cs="Times New Roman"/>
          <w:bCs/>
          <w:sz w:val="24"/>
          <w:szCs w:val="24"/>
          <w:highlight w:val="none"/>
        </w:rPr>
        <w:t xml:space="preserve">）快递中使用的充气类填充物不得使用聚氯乙烯作为原料，且原料为单一材质制成，生物分解率大于</w:t>
      </w:r>
      <w:r>
        <w:rPr>
          <w:rFonts w:ascii="Times New Roman" w:hAnsi="Times New Roman" w:eastAsia="宋体" w:cs="Times New Roman"/>
          <w:bCs/>
          <w:sz w:val="24"/>
          <w:szCs w:val="24"/>
          <w:highlight w:val="none"/>
        </w:rPr>
        <w:t xml:space="preserve">60%</w:t>
      </w:r>
      <w:r>
        <w:rPr>
          <w:rFonts w:hint="eastAsia" w:ascii="Times New Roman" w:hAnsi="Times New Roman" w:eastAsia="宋体" w:cs="Times New Roman"/>
          <w:bCs/>
          <w:sz w:val="24"/>
          <w:szCs w:val="24"/>
          <w:highlight w:val="none"/>
        </w:rPr>
        <w:t xml:space="preserve">；</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7</w:t>
      </w:r>
      <w:r>
        <w:rPr>
          <w:rFonts w:hint="eastAsia" w:ascii="Times New Roman" w:hAnsi="Times New Roman" w:eastAsia="宋体" w:cs="Times New Roman"/>
          <w:bCs/>
          <w:sz w:val="24"/>
          <w:szCs w:val="24"/>
          <w:highlight w:val="none"/>
        </w:rPr>
        <w:t xml:space="preserve">）快递中使用的集装袋应为单一材质制成，其重复使用次数应不小于</w:t>
      </w:r>
      <w:r>
        <w:rPr>
          <w:rFonts w:ascii="Times New Roman" w:hAnsi="Times New Roman" w:eastAsia="宋体" w:cs="Times New Roman"/>
          <w:bCs/>
          <w:sz w:val="24"/>
          <w:szCs w:val="24"/>
          <w:highlight w:val="none"/>
        </w:rPr>
        <w:t xml:space="preserve"> 80 </w:t>
      </w:r>
      <w:r>
        <w:rPr>
          <w:rFonts w:hint="eastAsia" w:ascii="Times New Roman" w:hAnsi="Times New Roman" w:eastAsia="宋体" w:cs="Times New Roman"/>
          <w:bCs/>
          <w:sz w:val="24"/>
          <w:szCs w:val="24"/>
          <w:highlight w:val="none"/>
        </w:rPr>
        <w:t xml:space="preserve">次；</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8</w:t>
      </w:r>
      <w:r>
        <w:rPr>
          <w:rFonts w:hint="eastAsia" w:ascii="Times New Roman" w:hAnsi="Times New Roman" w:eastAsia="宋体" w:cs="Times New Roman"/>
          <w:bCs/>
          <w:sz w:val="24"/>
          <w:szCs w:val="24"/>
          <w:highlight w:val="none"/>
        </w:rPr>
        <w:t xml:space="preserve">）快递中应使用幅宽不大于</w:t>
      </w:r>
      <w:r>
        <w:rPr>
          <w:rFonts w:ascii="Times New Roman" w:hAnsi="Times New Roman" w:eastAsia="宋体" w:cs="Times New Roman"/>
          <w:bCs/>
          <w:sz w:val="24"/>
          <w:szCs w:val="24"/>
          <w:highlight w:val="none"/>
        </w:rPr>
        <w:t xml:space="preserve">45mm </w:t>
      </w:r>
      <w:r>
        <w:rPr>
          <w:rFonts w:hint="eastAsia" w:ascii="Times New Roman" w:hAnsi="Times New Roman" w:eastAsia="宋体" w:cs="Times New Roman"/>
          <w:bCs/>
          <w:sz w:val="24"/>
          <w:szCs w:val="24"/>
          <w:highlight w:val="none"/>
        </w:rPr>
        <w:t xml:space="preserve">的生物降解胶带；</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9</w:t>
      </w:r>
      <w:r>
        <w:rPr>
          <w:rFonts w:hint="eastAsia" w:ascii="Times New Roman" w:hAnsi="Times New Roman" w:eastAsia="宋体" w:cs="Times New Roman"/>
          <w:bCs/>
          <w:sz w:val="24"/>
          <w:szCs w:val="24"/>
          <w:highlight w:val="none"/>
        </w:rPr>
        <w:t xml:space="preserve">）快递包装中不得使用溶剂型胶粘剂；</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10</w:t>
      </w:r>
      <w:r>
        <w:rPr>
          <w:rFonts w:hint="eastAsia" w:ascii="Times New Roman" w:hAnsi="Times New Roman" w:eastAsia="宋体" w:cs="Times New Roman"/>
          <w:bCs/>
          <w:sz w:val="24"/>
          <w:szCs w:val="24"/>
          <w:highlight w:val="none"/>
        </w:rPr>
        <w:t xml:space="preserve">）快递应使用电子面单；</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11</w:t>
      </w:r>
      <w:r>
        <w:rPr>
          <w:rFonts w:hint="eastAsia" w:ascii="Times New Roman" w:hAnsi="Times New Roman" w:eastAsia="宋体" w:cs="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12</w:t>
      </w:r>
      <w:r>
        <w:rPr>
          <w:rFonts w:hint="eastAsia" w:ascii="Times New Roman" w:hAnsi="Times New Roman" w:eastAsia="宋体" w:cs="Times New Roman"/>
          <w:bCs/>
          <w:sz w:val="24"/>
          <w:szCs w:val="24"/>
          <w:highlight w:val="none"/>
        </w:rPr>
        <w:t xml:space="preserve">）快递包装产品质量和封装方式应符合相关国家或行业标准技术指标要求。</w:t>
      </w:r>
      <w:r/>
    </w:p>
    <w:p>
      <w:pPr>
        <w:ind w:firstLine="482"/>
        <w:jc w:val="both"/>
        <w:keepLines/>
        <w:keepNext/>
        <w:spacing w:before="240" w:after="200"/>
        <w:widowControl w:val="off"/>
        <w:rPr>
          <w:rFonts w:hint="eastAsia" w:ascii="宋体" w:hAnsi="宋体" w:eastAsia="宋体" w:cs="宋体"/>
          <w:b/>
          <w:sz w:val="24"/>
          <w:szCs w:val="24"/>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十三、投标报价要求</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1、本项目报价不得超过预算价（最高限价）。</w:t>
      </w:r>
      <w:r/>
    </w:p>
    <w:p>
      <w:pPr>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、供应商的任何错漏、优惠、竞争性报价不得作为减轻责任、减少服务、增加收费、降低服务质量的理由；</w:t>
      </w:r>
      <w:r/>
    </w:p>
    <w:p>
      <w:pPr>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、供应商报价除包含采购文件中列明的项目外还应包括保障服务正常运行应当具有的物资和服务，对服务正常运行应当具有的物资和服务理解不一致的以采购人理解为准。</w:t>
      </w:r>
      <w:r/>
    </w:p>
    <w:p>
      <w:pPr>
        <w:ind w:firstLine="482"/>
        <w:jc w:val="both"/>
        <w:keepLines/>
        <w:keepNext/>
        <w:spacing w:before="240" w:after="200"/>
        <w:widowControl w:val="off"/>
        <w:rPr>
          <w:rFonts w:ascii="Arial" w:hAnsi="Arial" w:eastAsia="Arial" w:cs="Arial"/>
          <w:b/>
          <w:sz w:val="32"/>
          <w:szCs w:val="40"/>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十四、付款方式与履约保证金</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1、付款方式</w:t>
      </w:r>
      <w:r/>
    </w:p>
    <w:p>
      <w:pPr>
        <w:ind w:firstLine="480"/>
        <w:jc w:val="left"/>
        <w:spacing w:line="360" w:lineRule="auto"/>
        <w:rPr>
          <w:rFonts w:ascii="宋体" w:hAnsi="宋体" w:eastAsia="宋体" w:cs="Times New Roman"/>
          <w:i/>
          <w:iCs/>
          <w:sz w:val="24"/>
          <w:szCs w:val="24"/>
          <w:highlight w:val="none"/>
          <w:u w:val="single"/>
        </w:rPr>
      </w:pPr>
      <w:r>
        <w:rPr>
          <w:rFonts w:hint="eastAsia" w:ascii="宋体" w:hAnsi="宋体" w:eastAsia="宋体" w:cs="Times New Roman"/>
          <w:b/>
          <w:bCs/>
          <w:sz w:val="24"/>
          <w:szCs w:val="24"/>
          <w:highlight w:val="none"/>
        </w:rPr>
        <w:t xml:space="preserve">★</w:t>
      </w:r>
      <w:r>
        <w:rPr>
          <w:rFonts w:hint="eastAsia" w:ascii="宋体" w:hAnsi="宋体" w:eastAsia="宋体" w:cs="Times New Roman"/>
          <w:bCs/>
          <w:i/>
          <w:iCs/>
          <w:sz w:val="24"/>
          <w:szCs w:val="24"/>
          <w:highlight w:val="none"/>
          <w:u w:val="single"/>
        </w:rPr>
        <w:t xml:space="preserve">在设备安装、调试完毕并正常运行一个月后，能够满足使用部门要求的，经学校相关部门验收合格后支付合同款项的100%。</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2、履约保证金</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本项目不收取履约保证金。</w:t>
      </w:r>
      <w:r/>
    </w:p>
    <w:p>
      <w:pPr>
        <w:ind w:firstLine="482"/>
        <w:jc w:val="both"/>
        <w:keepLines/>
        <w:keepNext/>
        <w:spacing w:before="240" w:after="200"/>
        <w:widowControl w:val="off"/>
        <w:rPr>
          <w:rFonts w:hint="eastAsia" w:ascii="宋体" w:hAnsi="宋体" w:eastAsia="宋体" w:cs="宋体"/>
          <w:b/>
          <w:sz w:val="24"/>
          <w:szCs w:val="24"/>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十五、其他</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本项目报价不得超过预算价（最高限价）。</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特别提醒投标人：应根据国家收费标准并结合市场实际进行报价，总价包干。</w:t>
      </w:r>
      <w:r/>
    </w:p>
    <w:p>
      <w:pPr>
        <w:ind w:firstLine="480"/>
        <w:spacing w:line="360" w:lineRule="auto"/>
        <w:rPr>
          <w:rFonts w:hint="eastAsia" w:ascii="宋体" w:hAnsi="宋体" w:eastAsia="宋体" w:cs="宋体"/>
          <w:sz w:val="24"/>
          <w:szCs w:val="24"/>
          <w:highlight w:val="none"/>
        </w:rPr>
      </w:pPr>
      <w:r>
        <w:rPr>
          <w:rFonts w:hint="eastAsia" w:ascii="宋体" w:hAnsi="宋体" w:eastAsia="宋体" w:cs="Times New Roman"/>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sz w:val="24"/>
          <w:szCs w:val="24"/>
          <w:highlight w:val="none"/>
        </w:rPr>
        <w:t xml:space="preserve">。</w:t>
      </w:r>
      <w:r/>
    </w:p>
    <w:p>
      <w:pPr>
        <w:pStyle w:val="889"/>
        <w:rPr>
          <w:highlight w:val="none"/>
        </w:rPr>
      </w:pPr>
      <w:r>
        <w:rPr>
          <w:highlight w:val="none"/>
        </w:rPr>
        <w:br w:type="page" w:clear="all"/>
      </w:r>
      <w:r/>
    </w:p>
    <w:p>
      <w:pPr>
        <w:pStyle w:val="878"/>
        <w:numPr>
          <w:ilvl w:val="0"/>
          <w:numId w:val="0"/>
        </w:numPr>
        <w:rPr>
          <w:rFonts w:ascii="宋体" w:hAnsi="宋体"/>
          <w:sz w:val="24"/>
          <w:highlight w:val="none"/>
        </w:rPr>
      </w:pPr>
      <w:r/>
      <w:bookmarkStart w:id="34" w:name="_Toc150765440"/>
      <w:r>
        <w:rPr>
          <w:rFonts w:hint="eastAsia"/>
          <w:highlight w:val="none"/>
        </w:rPr>
        <w:t xml:space="preserve">第七章评标办法</w:t>
      </w:r>
      <w:bookmarkEnd w:id="22"/>
      <w:r/>
      <w:bookmarkEnd w:id="34"/>
      <w:r/>
      <w:r/>
    </w:p>
    <w:p>
      <w:pPr>
        <w:ind w:firstLine="482"/>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一、</w:t>
      </w:r>
      <w:r>
        <w:rPr>
          <w:rFonts w:hint="eastAsia" w:ascii="宋体" w:hAnsi="宋体" w:eastAsia="宋体" w:cs="Times New Roman"/>
          <w:b/>
          <w:bCs/>
          <w:sz w:val="24"/>
          <w:szCs w:val="24"/>
          <w:highlight w:val="none"/>
        </w:rPr>
        <w:t xml:space="preserve">评标委员会构成</w:t>
      </w:r>
      <w:r>
        <w:rPr>
          <w:rFonts w:hint="eastAsia" w:ascii="宋体" w:hAnsi="宋体" w:eastAsia="宋体" w:cs="Times New Roman"/>
          <w:b/>
          <w:sz w:val="24"/>
          <w:szCs w:val="24"/>
          <w:highlight w:val="none"/>
        </w:rPr>
        <w:t xml:space="preserve">：</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本采购项目评标委员会的评委由采购人代表、相关专家组成。</w:t>
      </w:r>
      <w:r/>
    </w:p>
    <w:p>
      <w:pPr>
        <w:ind w:firstLine="482"/>
        <w:spacing w:line="360" w:lineRule="auto"/>
        <w:rPr>
          <w:rFonts w:ascii="宋体" w:hAnsi="宋体" w:eastAsia="宋体" w:cs="Times New Roman"/>
          <w:sz w:val="24"/>
          <w:szCs w:val="24"/>
          <w:highlight w:val="none"/>
        </w:rPr>
      </w:pPr>
      <w:r>
        <w:rPr>
          <w:rFonts w:hint="eastAsia" w:ascii="宋体" w:hAnsi="宋体" w:eastAsia="宋体" w:cs="Times New Roman"/>
          <w:b/>
          <w:sz w:val="24"/>
          <w:szCs w:val="24"/>
          <w:highlight w:val="none"/>
        </w:rPr>
        <w:t xml:space="preserve">二、</w:t>
      </w:r>
      <w:r>
        <w:rPr>
          <w:rFonts w:hint="eastAsia" w:ascii="宋体" w:hAnsi="宋体" w:eastAsia="宋体" w:cs="Times New Roman"/>
          <w:b/>
          <w:bCs/>
          <w:sz w:val="24"/>
          <w:szCs w:val="24"/>
          <w:highlight w:val="none"/>
        </w:rPr>
        <w:t xml:space="preserve">评标方法</w:t>
      </w:r>
      <w:r>
        <w:rPr>
          <w:rFonts w:hint="eastAsia" w:ascii="宋体" w:hAnsi="宋体" w:eastAsia="宋体" w:cs="Times New Roman"/>
          <w:b/>
          <w:sz w:val="24"/>
          <w:szCs w:val="24"/>
          <w:highlight w:val="none"/>
        </w:rPr>
        <w:t xml:space="preserve">：</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三、</w:t>
      </w:r>
      <w:r>
        <w:rPr>
          <w:rFonts w:hint="eastAsia" w:ascii="宋体" w:hAnsi="宋体" w:eastAsia="宋体" w:cs="Times New Roman"/>
          <w:b/>
          <w:bCs/>
          <w:sz w:val="24"/>
          <w:szCs w:val="24"/>
          <w:highlight w:val="none"/>
        </w:rPr>
        <w:t xml:space="preserve">评标原则</w:t>
      </w:r>
      <w:r>
        <w:rPr>
          <w:rFonts w:hint="eastAsia" w:ascii="宋体" w:hAnsi="宋体" w:eastAsia="宋体" w:cs="Times New Roman"/>
          <w:b/>
          <w:sz w:val="24"/>
          <w:szCs w:val="24"/>
          <w:highlight w:val="none"/>
        </w:rPr>
        <w:t xml:space="preserve">：</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四、</w:t>
      </w:r>
      <w:r>
        <w:rPr>
          <w:rFonts w:hint="eastAsia" w:ascii="宋体" w:hAnsi="宋体" w:eastAsia="宋体" w:cs="Times New Roman"/>
          <w:b/>
          <w:bCs/>
          <w:sz w:val="24"/>
          <w:szCs w:val="24"/>
          <w:highlight w:val="none"/>
        </w:rPr>
        <w:t xml:space="preserve">评标标准</w:t>
      </w:r>
      <w:r>
        <w:rPr>
          <w:rFonts w:hint="eastAsia" w:ascii="宋体" w:hAnsi="宋体" w:eastAsia="宋体" w:cs="Times New Roman"/>
          <w:b/>
          <w:sz w:val="24"/>
          <w:szCs w:val="24"/>
          <w:highlight w:val="none"/>
        </w:rPr>
        <w:t xml:space="preserve">：</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（二）本项目评分总分为100分，按四舍五入取至小数点后两位。</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（三）总得分 =价格分 + 商务技术分 </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sz w:val="28"/>
          <w:szCs w:val="28"/>
          <w:highlight w:val="none"/>
        </w:rPr>
      </w:pPr>
      <w:r>
        <w:rPr>
          <w:rFonts w:hint="eastAsia" w:ascii="宋体" w:hAnsi="宋体" w:eastAsia="宋体" w:cs="Times New Roman"/>
          <w:b/>
          <w:sz w:val="28"/>
          <w:szCs w:val="28"/>
          <w:highlight w:val="none"/>
        </w:rPr>
        <w:t xml:space="preserve">综合评分法</w:t>
      </w:r>
      <w:bookmarkEnd w:id="23"/>
      <w:r/>
      <w:bookmarkEnd w:id="24"/>
      <w:r/>
      <w:r/>
    </w:p>
    <w:tbl>
      <w:tblPr>
        <w:tblStyle w:val="888"/>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7906"/>
      </w:tblGrid>
      <w:tr>
        <w:trPr>
          <w:jc w:val="center"/>
          <w:trHeight w:val="600"/>
        </w:trPr>
        <w:tc>
          <w:tcPr>
            <w:tcW w:w="1404" w:type="dxa"/>
            <w:vAlign w:val="center"/>
            <w:textDirection w:val="lrTb"/>
            <w:noWrap/>
          </w:tcPr>
          <w:p>
            <w:pPr>
              <w:jc w:val="center"/>
              <w:spacing w:line="460" w:lineRule="exact"/>
              <w:widowControl/>
              <w:rPr>
                <w:rFonts w:cs="宋体" w:asciiTheme="minorEastAsia" w:hAnsiTheme="minorEastAsia"/>
                <w:b/>
                <w:bCs/>
                <w:sz w:val="24"/>
                <w:szCs w:val="24"/>
                <w:highlight w:val="none"/>
              </w:rPr>
            </w:pPr>
            <w:r>
              <w:rPr>
                <w:rFonts w:hint="eastAsia" w:cs="宋体" w:asciiTheme="minorEastAsia" w:hAnsiTheme="minorEastAsia"/>
                <w:b/>
                <w:bCs/>
                <w:sz w:val="24"/>
                <w:szCs w:val="24"/>
                <w:highlight w:val="none"/>
              </w:rPr>
              <w:t xml:space="preserve">项目</w:t>
            </w:r>
            <w:r/>
          </w:p>
        </w:tc>
        <w:tc>
          <w:tcPr>
            <w:tcW w:w="7906" w:type="dxa"/>
            <w:vAlign w:val="center"/>
            <w:textDirection w:val="lrTb"/>
            <w:noWrap/>
          </w:tcPr>
          <w:p>
            <w:pPr>
              <w:jc w:val="center"/>
              <w:spacing w:line="460" w:lineRule="exact"/>
              <w:widowControl/>
              <w:rPr>
                <w:rFonts w:cs="宋体" w:asciiTheme="minorEastAsia" w:hAnsiTheme="minorEastAsia"/>
                <w:sz w:val="24"/>
                <w:szCs w:val="24"/>
                <w:highlight w:val="none"/>
              </w:rPr>
            </w:pPr>
            <w:r>
              <w:rPr>
                <w:rFonts w:hint="eastAsia" w:cs="宋体" w:asciiTheme="minorEastAsia" w:hAnsiTheme="minorEastAsia"/>
                <w:b/>
                <w:bCs/>
                <w:sz w:val="24"/>
                <w:szCs w:val="24"/>
                <w:highlight w:val="none"/>
              </w:rPr>
              <w:t xml:space="preserve">评分依据</w:t>
            </w:r>
            <w:r/>
          </w:p>
        </w:tc>
      </w:tr>
      <w:tr>
        <w:trPr>
          <w:jc w:val="center"/>
          <w:trHeight w:val="245"/>
        </w:trPr>
        <w:tc>
          <w:tcPr>
            <w:tcW w:w="1404" w:type="dxa"/>
            <w:vAlign w:val="center"/>
            <w:textDirection w:val="lrTb"/>
            <w:noWrap/>
          </w:tcPr>
          <w:p>
            <w:pPr>
              <w:jc w:val="center"/>
              <w:spacing w:line="460" w:lineRule="exact"/>
              <w:widowControl/>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 xml:space="preserve">价格分</w:t>
            </w:r>
            <w:r/>
          </w:p>
          <w:p>
            <w:pPr>
              <w:jc w:val="center"/>
              <w:spacing w:line="460" w:lineRule="exact"/>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（30分）</w:t>
            </w:r>
            <w:r/>
          </w:p>
        </w:tc>
        <w:tc>
          <w:tcPr>
            <w:tcW w:w="7906" w:type="dxa"/>
            <w:vAlign w:val="center"/>
            <w:textDirection w:val="lrTb"/>
            <w:noWrap/>
          </w:tcPr>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采用低价优先法计算，即满足招标文件要求且投标价格最低的投标报价为评标基准价，其价格分为满分。其他投标人的价格分统一按照下列公式计算：</w:t>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投标报价得分=（评标基准价／投标报价）×30分</w:t>
            </w:r>
            <w:r/>
          </w:p>
          <w:p>
            <w:pPr>
              <w:jc w:val="left"/>
              <w:spacing w:line="460" w:lineRule="exact"/>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评标过程中，不得去掉报价中的最高报价和最低报价。结果保留两位小数。</w:t>
            </w:r>
            <w:r/>
          </w:p>
        </w:tc>
      </w:tr>
      <w:tr>
        <w:trPr>
          <w:jc w:val="center"/>
          <w:trHeight w:val="1001"/>
        </w:trPr>
        <w:tc>
          <w:tcPr>
            <w:tcW w:w="1404" w:type="dxa"/>
            <w:vAlign w:val="center"/>
            <w:textDirection w:val="lrTb"/>
            <w:noWrap/>
          </w:tcPr>
          <w:p>
            <w:pPr>
              <w:jc w:val="center"/>
              <w:spacing w:line="460" w:lineRule="exact"/>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技术</w:t>
            </w:r>
            <w:r>
              <w:rPr>
                <w:rFonts w:hint="eastAsia" w:cs="宋体" w:asciiTheme="minorEastAsia" w:hAnsiTheme="minorEastAsia"/>
                <w:sz w:val="24"/>
                <w:szCs w:val="24"/>
                <w:highlight w:val="none"/>
                <w:lang w:val="en-US" w:eastAsia="zh-CN"/>
              </w:rPr>
              <w:t xml:space="preserve">要求</w:t>
            </w:r>
            <w:r>
              <w:rPr>
                <w:rFonts w:hint="eastAsia" w:cs="宋体" w:asciiTheme="minorEastAsia" w:hAnsiTheme="minorEastAsia"/>
                <w:sz w:val="24"/>
                <w:szCs w:val="24"/>
                <w:highlight w:val="none"/>
              </w:rPr>
              <w:t xml:space="preserve">（</w:t>
            </w:r>
            <w:r>
              <w:rPr>
                <w:rFonts w:hint="eastAsia" w:cs="宋体" w:asciiTheme="minorEastAsia" w:hAnsiTheme="minorEastAsia"/>
                <w:sz w:val="24"/>
                <w:szCs w:val="24"/>
                <w:highlight w:val="none"/>
                <w:lang w:val="en-US" w:eastAsia="zh-CN"/>
              </w:rPr>
              <w:t xml:space="preserve">28</w:t>
            </w:r>
            <w:r>
              <w:rPr>
                <w:rFonts w:hint="eastAsia" w:cs="宋体" w:asciiTheme="minorEastAsia" w:hAnsiTheme="minorEastAsia"/>
                <w:sz w:val="24"/>
                <w:szCs w:val="24"/>
                <w:highlight w:val="none"/>
              </w:rPr>
              <w:t xml:space="preserve">分）</w:t>
            </w:r>
            <w:r/>
          </w:p>
        </w:tc>
        <w:tc>
          <w:tcPr>
            <w:tcW w:w="7906" w:type="dxa"/>
            <w:vAlign w:val="center"/>
            <w:textDirection w:val="lrTb"/>
            <w:noWrap/>
          </w:tcPr>
          <w:p>
            <w:pPr>
              <w:spacing w:line="3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技术参数响应评</w:t>
            </w:r>
            <w:r>
              <w:rPr>
                <w:rFonts w:hint="eastAsia" w:ascii="宋体" w:hAnsi="宋体" w:eastAsia="宋体" w:cs="宋体"/>
                <w:sz w:val="24"/>
                <w:szCs w:val="24"/>
                <w:highlight w:val="none"/>
              </w:rPr>
              <w:t xml:space="preserve">审基准分28分，标注“▲”项的参数每有一项负偏离扣1分，未标注“▲”项的功能指标及技术参数每有一项负偏离扣0.5分，扣完为止。</w:t>
            </w:r>
            <w:r/>
          </w:p>
          <w:p>
            <w:pPr>
              <w:jc w:val="left"/>
              <w:spacing w:line="360" w:lineRule="auto"/>
              <w:rPr>
                <w:rFonts w:cs="宋体" w:asciiTheme="minorEastAsia" w:hAnsiTheme="minorEastAsia"/>
                <w:sz w:val="24"/>
                <w:szCs w:val="24"/>
                <w:highlight w:val="none"/>
              </w:rPr>
            </w:pPr>
            <w:r>
              <w:rPr>
                <w:rFonts w:hint="eastAsia" w:ascii="宋体" w:hAnsi="宋体" w:eastAsia="宋体" w:cs="宋体"/>
                <w:b/>
                <w:sz w:val="24"/>
                <w:szCs w:val="24"/>
                <w:highlight w:val="none"/>
              </w:rPr>
              <w:t xml:space="preserve">（投标文件中详细填写技术要求响应及偏离表，须逐条响应。标注“▲”项要求提供证明材料的未提供、或提供不全、或所提供材料与招标文件要求不符的视为负偏离。）</w:t>
            </w:r>
            <w:r>
              <w:rPr>
                <w:rFonts w:hint="eastAsia" w:ascii="宋体" w:hAnsi="宋体" w:eastAsia="宋体" w:cs="宋体"/>
                <w:b/>
                <w:sz w:val="24"/>
                <w:szCs w:val="24"/>
                <w:highlight w:val="none"/>
              </w:rPr>
              <w:t xml:space="preserve">不全、或所提供材料与招标文件要求不符的视为负偏离。）</w:t>
            </w:r>
            <w:r/>
          </w:p>
        </w:tc>
      </w:tr>
      <w:tr>
        <w:trPr>
          <w:jc w:val="center"/>
          <w:trHeight w:val="973"/>
        </w:trPr>
        <w:tc>
          <w:tcPr>
            <w:tcW w:w="1404" w:type="dxa"/>
            <w:vAlign w:val="center"/>
            <w:textDirection w:val="lrTb"/>
            <w:noWrap/>
          </w:tcPr>
          <w:p>
            <w:pPr>
              <w:jc w:val="center"/>
              <w:spacing w:line="460" w:lineRule="exact"/>
              <w:widowControl/>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投标人能力</w:t>
            </w:r>
            <w:r/>
          </w:p>
          <w:p>
            <w:pPr>
              <w:jc w:val="center"/>
              <w:spacing w:line="460" w:lineRule="exact"/>
              <w:widowControl/>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w:t>
            </w:r>
            <w:r>
              <w:rPr>
                <w:rFonts w:hint="eastAsia" w:cs="Times New Roman" w:asciiTheme="minorEastAsia" w:hAnsiTheme="minorEastAsia"/>
                <w:sz w:val="24"/>
                <w:szCs w:val="24"/>
                <w:highlight w:val="none"/>
                <w:lang w:val="en-US" w:eastAsia="zh-CN"/>
              </w:rPr>
              <w:t xml:space="preserve">8</w:t>
            </w:r>
            <w:r>
              <w:rPr>
                <w:rFonts w:hint="eastAsia" w:cs="Times New Roman" w:asciiTheme="minorEastAsia" w:hAnsiTheme="minorEastAsia"/>
                <w:sz w:val="24"/>
                <w:szCs w:val="24"/>
                <w:highlight w:val="none"/>
              </w:rPr>
              <w:t xml:space="preserve">分）</w:t>
            </w:r>
            <w:r/>
          </w:p>
        </w:tc>
        <w:tc>
          <w:tcPr>
            <w:tcW w:w="7906" w:type="dxa"/>
            <w:vAlign w:val="center"/>
            <w:textDirection w:val="lrTb"/>
            <w:noWrap/>
          </w:tcPr>
          <w:p>
            <w:pPr>
              <w:ind w:firstLine="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1.投标人具有信息系统建设和服务能力评估资质达到杰出级（CS5）的得4分，达到优秀级（CS4）的得2分，良好级（CS3）及以下的得1分，没有或未提供的不得分；</w:t>
            </w:r>
            <w:r/>
          </w:p>
          <w:p>
            <w:pPr>
              <w:ind w:firstLine="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2.投标人具备有效的五星级售后服务认证证书(《商品售后服务价体系》(GB/T27922-2011))，且认证范围包括运维服务的得2分，没有不得分；</w:t>
            </w:r>
            <w:r/>
          </w:p>
          <w:p>
            <w:pPr>
              <w:ind w:firstLine="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3.投标人具有有效的ITSS信息技术服务（运行维护）标准符合性证书，壹级的得2分，贰级及以下的得1分，没有或未提供的不得分；</w:t>
            </w:r>
            <w:r/>
          </w:p>
          <w:p>
            <w:pPr>
              <w:pStyle w:val="889"/>
              <w:spacing w:line="360" w:lineRule="auto"/>
              <w:rPr>
                <w:rFonts w:ascii="宋体" w:hAnsi="宋体" w:eastAsia="宋体"/>
                <w:sz w:val="24"/>
                <w:szCs w:val="24"/>
                <w:highlight w:val="none"/>
              </w:rPr>
            </w:pPr>
            <w:r>
              <w:rPr>
                <w:rFonts w:hint="eastAsia" w:ascii="宋体" w:hAnsi="宋体" w:eastAsia="宋体" w:cs="宋体"/>
                <w:b/>
                <w:bCs/>
                <w:sz w:val="24"/>
                <w:szCs w:val="24"/>
                <w:highlight w:val="none"/>
              </w:rPr>
              <w:t xml:space="preserve">注：投标文件中需提供上述有效证书电子件或复印件或扫描件并加盖投标人公章，否则不得分。</w:t>
            </w:r>
            <w:r/>
          </w:p>
        </w:tc>
      </w:tr>
      <w:tr>
        <w:trPr>
          <w:jc w:val="center"/>
          <w:trHeight w:val="1975"/>
        </w:trPr>
        <w:tc>
          <w:tcPr>
            <w:tcW w:w="1404" w:type="dxa"/>
            <w:vAlign w:val="center"/>
            <w:textDirection w:val="lrTb"/>
            <w:noWrap/>
          </w:tcPr>
          <w:p>
            <w:pPr>
              <w:jc w:val="center"/>
              <w:spacing w:line="460" w:lineRule="exact"/>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项目团队（</w:t>
            </w:r>
            <w:r>
              <w:rPr>
                <w:rFonts w:hint="eastAsia" w:cs="宋体" w:asciiTheme="minorEastAsia" w:hAnsiTheme="minorEastAsia"/>
                <w:sz w:val="24"/>
                <w:szCs w:val="24"/>
                <w:highlight w:val="none"/>
                <w:lang w:val="en-US" w:eastAsia="zh-CN"/>
              </w:rPr>
              <w:t xml:space="preserve">8</w:t>
            </w:r>
            <w:r>
              <w:rPr>
                <w:rFonts w:hint="eastAsia" w:cs="宋体" w:asciiTheme="minorEastAsia" w:hAnsiTheme="minorEastAsia"/>
                <w:sz w:val="24"/>
                <w:szCs w:val="24"/>
                <w:highlight w:val="none"/>
              </w:rPr>
              <w:t xml:space="preserve">分）</w:t>
            </w:r>
            <w:r/>
          </w:p>
        </w:tc>
        <w:tc>
          <w:tcPr>
            <w:tcW w:w="7906" w:type="dxa"/>
            <w:vAlign w:val="center"/>
            <w:textDirection w:val="lrTb"/>
            <w:noWrap/>
          </w:tcPr>
          <w:p>
            <w:pPr>
              <w:ind w:firstLine="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1.拟派项目负责人同时具备电子信息类高级工程师、信息系统项目管理师、系统规划与管理师和信息系统业务安全服务工程师（高级）证书的，每一个得1分，最高得4分。</w:t>
            </w:r>
            <w:r/>
          </w:p>
          <w:p>
            <w:pPr>
              <w:ind w:firstLine="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2.项目组其他成员（不含项目负责人）中具有系统集成项目管理工程师、PMP、系统架构设计师、信息系统项目管理师证书的，每提供一个证书得1分，最高得4分。</w:t>
            </w:r>
            <w:r/>
          </w:p>
          <w:p>
            <w:pPr>
              <w:pStyle w:val="889"/>
              <w:spacing w:line="360" w:lineRule="auto"/>
              <w:rPr>
                <w:rFonts w:ascii="宋体" w:hAnsi="宋体" w:eastAsia="宋体"/>
                <w:sz w:val="24"/>
                <w:szCs w:val="24"/>
                <w:highlight w:val="none"/>
              </w:rPr>
            </w:pPr>
            <w:r>
              <w:rPr>
                <w:rFonts w:hint="eastAsia" w:ascii="宋体" w:hAnsi="宋体" w:cs="宋体"/>
                <w:b/>
                <w:bCs/>
                <w:sz w:val="24"/>
                <w:szCs w:val="24"/>
                <w:highlight w:val="none"/>
              </w:rPr>
              <w:t xml:space="preserve">注：投标文件中提供有效证书扫描件及2025年1月以来任意1个月由投标人为其缴纳的社保证明材料电子件或复印件或扫描件并加盖投标人公章，否则不得分。</w:t>
            </w:r>
            <w:r/>
          </w:p>
        </w:tc>
      </w:tr>
      <w:tr>
        <w:trPr>
          <w:jc w:val="center"/>
          <w:trHeight w:val="2011"/>
        </w:trPr>
        <w:tc>
          <w:tcPr>
            <w:tcW w:w="1404" w:type="dxa"/>
            <w:vAlign w:val="center"/>
            <w:textDirection w:val="lrTb"/>
            <w:noWrap/>
          </w:tcPr>
          <w:p>
            <w:pPr>
              <w:jc w:val="center"/>
              <w:spacing w:line="460" w:lineRule="exact"/>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 xml:space="preserve">业绩</w:t>
            </w:r>
            <w:r/>
          </w:p>
          <w:p>
            <w:pPr>
              <w:jc w:val="center"/>
              <w:spacing w:line="460" w:lineRule="exact"/>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w:t>
            </w:r>
            <w:r>
              <w:rPr>
                <w:rFonts w:hint="eastAsia" w:cs="宋体" w:asciiTheme="minorEastAsia" w:hAnsiTheme="minorEastAsia"/>
                <w:sz w:val="24"/>
                <w:szCs w:val="24"/>
                <w:highlight w:val="none"/>
                <w:lang w:val="en-US" w:eastAsia="zh-CN"/>
              </w:rPr>
              <w:t xml:space="preserve">8</w:t>
            </w:r>
            <w:r>
              <w:rPr>
                <w:rFonts w:hint="eastAsia" w:cs="宋体" w:asciiTheme="minorEastAsia" w:hAnsiTheme="minorEastAsia"/>
                <w:sz w:val="24"/>
                <w:szCs w:val="24"/>
                <w:highlight w:val="none"/>
              </w:rPr>
              <w:t xml:space="preserve">分）</w:t>
            </w:r>
            <w:r/>
          </w:p>
        </w:tc>
        <w:tc>
          <w:tcPr>
            <w:tcW w:w="7906" w:type="dxa"/>
            <w:vAlign w:val="center"/>
            <w:textDirection w:val="lrTb"/>
            <w:noWrap/>
          </w:tcPr>
          <w:p>
            <w:pPr>
              <w:ind w:firstLine="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自2021年1月1日（含）起，以合同签订时间为准，投标人具有类似人工智能实验室或功能教室项目业绩的，每提供一个得2分，本项最高得8分。</w:t>
            </w:r>
            <w:r/>
          </w:p>
          <w:p>
            <w:pPr>
              <w:ind w:firstLine="0"/>
              <w:keepLines w:val="0"/>
              <w:keepNext w:val="0"/>
              <w:pageBreakBefore w:val="0"/>
              <w:spacing w:line="360" w:lineRule="auto"/>
              <w:widowControl w:val="off"/>
              <w:rPr>
                <w:rFonts w:ascii="宋体" w:hAnsi="宋体" w:eastAsia="宋体"/>
                <w:sz w:val="24"/>
                <w:szCs w:val="24"/>
                <w:highlight w:val="none"/>
              </w:rPr>
            </w:pPr>
            <w:r>
              <w:rPr>
                <w:rFonts w:hint="eastAsia" w:ascii="宋体" w:hAnsi="宋体" w:cs="宋体"/>
                <w:b/>
                <w:bCs/>
                <w:sz w:val="24"/>
                <w:szCs w:val="24"/>
                <w:highlight w:val="none"/>
              </w:rPr>
              <w:t xml:space="preserve">注：</w:t>
            </w:r>
            <w:r>
              <w:rPr>
                <w:rFonts w:hint="eastAsia" w:ascii="宋体" w:hAnsi="宋体" w:cs="宋体"/>
                <w:b/>
                <w:bCs/>
                <w:sz w:val="24"/>
                <w:szCs w:val="24"/>
                <w:highlight w:val="none"/>
                <w:lang w:val="en-US" w:eastAsia="zh-CN"/>
              </w:rPr>
              <w:t xml:space="preserve">提供合同扫描件并加盖投标人公章，否则不得分。时间、内容以合同为准。合同中设备名称不完全一致的，由评审委员会统一认定。</w:t>
            </w:r>
            <w:r/>
          </w:p>
        </w:tc>
      </w:tr>
      <w:tr>
        <w:trPr>
          <w:jc w:val="center"/>
          <w:trHeight w:val="390"/>
        </w:trPr>
        <w:tc>
          <w:tcPr>
            <w:tcW w:w="1404" w:type="dxa"/>
            <w:vAlign w:val="center"/>
            <w:textDirection w:val="lrTb"/>
            <w:noWrap/>
          </w:tcPr>
          <w:p>
            <w:pPr>
              <w:jc w:val="center"/>
              <w:spacing w:line="460" w:lineRule="exact"/>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实施方案（6分）</w:t>
            </w:r>
            <w:r/>
          </w:p>
        </w:tc>
        <w:tc>
          <w:tcPr>
            <w:tcW w:w="7906" w:type="dxa"/>
            <w:vAlign w:val="center"/>
            <w:textDirection w:val="lrTb"/>
            <w:noWrap/>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投标人结合项目需求提供项目实施方案，内容包括但不限于组织和实施流程、设备安装方案、进度计划、质量保证措施、紧急预案等。</w:t>
            </w:r>
            <w:r/>
          </w:p>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方案包含上述全部内容，实施流程清晰，安装及进度计划内容详细，措施完善，预案可操作性强，能够满足本项目需求的得6分；</w:t>
            </w:r>
            <w:r/>
          </w:p>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方案包含上述全部内容，流程较清晰，安装及进度计划内容较详细，有对应措施，预案可操作性较强，较能够满足本项目需求的得4分；</w:t>
            </w:r>
            <w:r/>
          </w:p>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上述内容有缺项，内容合理性一般，措施简单粗糙，可操作性不强，基本能够满足本项目需求的得2分。</w:t>
            </w:r>
            <w:r/>
          </w:p>
          <w:p>
            <w:pPr>
              <w:ind w:firstLine="0"/>
              <w:jc w:val="left"/>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sz w:val="24"/>
                <w:szCs w:val="24"/>
                <w:highlight w:val="none"/>
                <w:lang w:val="zh-CN"/>
              </w:rPr>
              <w:t xml:space="preserve">该项未见阐述不得分。</w:t>
            </w:r>
            <w:r/>
          </w:p>
        </w:tc>
      </w:tr>
      <w:tr>
        <w:trPr>
          <w:jc w:val="center"/>
          <w:trHeight w:val="1527"/>
        </w:trPr>
        <w:tc>
          <w:tcPr>
            <w:tcW w:w="1404" w:type="dxa"/>
            <w:vAlign w:val="center"/>
            <w:textDirection w:val="lrTb"/>
            <w:noWrap w:val="false"/>
          </w:tcPr>
          <w:p>
            <w:pPr>
              <w:jc w:val="center"/>
              <w:spacing w:line="460" w:lineRule="exact"/>
              <w:widowControl/>
              <w:rPr>
                <w:rFonts w:hint="eastAsia" w:cs="Times New Roman" w:asciiTheme="minorEastAsia" w:hAnsiTheme="minorEastAsia"/>
                <w:sz w:val="24"/>
                <w:szCs w:val="24"/>
                <w:highlight w:val="none"/>
              </w:rPr>
            </w:pPr>
            <w:r>
              <w:rPr>
                <w:rFonts w:hint="eastAsia" w:ascii="宋体" w:hAnsi="宋体" w:eastAsia="宋体" w:cs="宋体"/>
                <w:sz w:val="24"/>
                <w:szCs w:val="24"/>
                <w:highlight w:val="none"/>
              </w:rPr>
              <w:t xml:space="preserve">培训方案</w:t>
            </w:r>
            <w:r/>
          </w:p>
          <w:p>
            <w:pPr>
              <w:jc w:val="center"/>
              <w:spacing w:line="460" w:lineRule="exact"/>
              <w:widowControl/>
              <w:rPr>
                <w:rFonts w:hint="eastAsia" w:cs="宋体" w:asciiTheme="minorEastAsia" w:hAnsiTheme="minorEastAsia"/>
                <w:sz w:val="24"/>
                <w:szCs w:val="24"/>
                <w:highlight w:val="none"/>
              </w:rPr>
            </w:pPr>
            <w:r>
              <w:rPr>
                <w:rFonts w:hint="eastAsia" w:cs="Times New Roman" w:asciiTheme="minorEastAsia" w:hAnsiTheme="minorEastAsia"/>
                <w:sz w:val="24"/>
                <w:szCs w:val="24"/>
                <w:highlight w:val="none"/>
              </w:rPr>
              <w:t xml:space="preserve">（</w:t>
            </w:r>
            <w:r>
              <w:rPr>
                <w:rFonts w:hint="eastAsia" w:cs="Times New Roman" w:asciiTheme="minorEastAsia" w:hAnsiTheme="minorEastAsia"/>
                <w:sz w:val="24"/>
                <w:szCs w:val="24"/>
                <w:highlight w:val="none"/>
                <w:lang w:val="en-US" w:eastAsia="zh-CN"/>
              </w:rPr>
              <w:t xml:space="preserve">6</w:t>
            </w:r>
            <w:r>
              <w:rPr>
                <w:rFonts w:hint="eastAsia" w:cs="Times New Roman" w:asciiTheme="minorEastAsia" w:hAnsiTheme="minorEastAsia"/>
                <w:sz w:val="24"/>
                <w:szCs w:val="24"/>
                <w:highlight w:val="none"/>
              </w:rPr>
              <w:t xml:space="preserve">分）</w:t>
            </w:r>
            <w:r/>
          </w:p>
        </w:tc>
        <w:tc>
          <w:tcPr>
            <w:tcW w:w="7906"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投标人提供培训方案，内容包括但不限于培训计划、培训内容、培训对象等：</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内容丰富，科学合理，培训形式多样，具有可操作性的得6分；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内容较丰富，较合理，培训形式较多样，可操作性较强的得4分；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内容简单，合理性一般，形式单一，可操作性一般的得2分。</w:t>
            </w:r>
            <w:r/>
          </w:p>
          <w:p>
            <w:pPr>
              <w:jc w:val="left"/>
              <w:spacing w:line="360" w:lineRule="auto"/>
              <w:widowControl/>
              <w:rPr>
                <w:rFonts w:hint="eastAsia" w:ascii="宋体" w:hAnsi="宋体" w:eastAsia="宋体"/>
                <w:sz w:val="24"/>
                <w:szCs w:val="24"/>
                <w:highlight w:val="none"/>
              </w:rPr>
            </w:pPr>
            <w:r>
              <w:rPr>
                <w:rFonts w:hint="eastAsia" w:ascii="宋体" w:hAnsi="宋体" w:eastAsia="宋体" w:cs="宋体"/>
                <w:sz w:val="24"/>
                <w:szCs w:val="24"/>
                <w:highlight w:val="none"/>
              </w:rPr>
              <w:t xml:space="preserve">该项未见阐述不得分。</w:t>
            </w:r>
            <w:r/>
          </w:p>
        </w:tc>
      </w:tr>
      <w:tr>
        <w:trPr>
          <w:jc w:val="center"/>
          <w:trHeight w:val="1903"/>
        </w:trPr>
        <w:tc>
          <w:tcPr>
            <w:tcW w:w="1404" w:type="dxa"/>
            <w:vAlign w:val="center"/>
            <w:textDirection w:val="lrTb"/>
            <w:noWrap w:val="false"/>
          </w:tcPr>
          <w:p>
            <w:pPr>
              <w:ind w:firstLine="0"/>
              <w:jc w:val="center"/>
              <w:keepLines w:val="0"/>
              <w:keepNext w:val="0"/>
              <w:pageBreakBefore w:val="0"/>
              <w:spacing w:line="3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w:t>
            </w:r>
            <w:r/>
          </w:p>
          <w:p>
            <w:pPr>
              <w:jc w:val="center"/>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w:t>
            </w:r>
            <w:r/>
          </w:p>
          <w:p>
            <w:pPr>
              <w:jc w:val="center"/>
              <w:spacing w:line="460" w:lineRule="exact"/>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w:t>
            </w:r>
            <w:r>
              <w:rPr>
                <w:rFonts w:hint="eastAsia" w:cs="宋体" w:asciiTheme="minorEastAsia" w:hAnsiTheme="minorEastAsia"/>
                <w:sz w:val="24"/>
                <w:szCs w:val="24"/>
                <w:highlight w:val="none"/>
                <w:lang w:val="en-US" w:eastAsia="zh-CN"/>
              </w:rPr>
              <w:t xml:space="preserve">6</w:t>
            </w:r>
            <w:r>
              <w:rPr>
                <w:rFonts w:hint="eastAsia" w:cs="宋体" w:asciiTheme="minorEastAsia" w:hAnsiTheme="minorEastAsia"/>
                <w:sz w:val="24"/>
                <w:szCs w:val="24"/>
                <w:highlight w:val="none"/>
              </w:rPr>
              <w:t xml:space="preserve">分）</w:t>
            </w:r>
            <w:r/>
          </w:p>
        </w:tc>
        <w:tc>
          <w:tcPr>
            <w:tcW w:w="7906"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投标人提供售后服务方案，内容包括但不限于服务内容、响应时间、故障处理、恢复时效、人员力量、支撑保障、是否具备完善的服务保障体系等：</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方案阐述详细，响应时间及故障处理及时，人员配备合理，支撑保障措施完善，具备完善的服务保障体系的得6分；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方案阐述较详细，响应时间及故障处理较及时，人员配备较合理，支撑保障措施较完善，具有一定的服务保障体系的得4分；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方案内容简单粗糙，上述内容有缺项，可实施性一般的得2分。</w:t>
            </w:r>
            <w:r/>
          </w:p>
          <w:p>
            <w:pPr>
              <w:jc w:val="left"/>
              <w:spacing w:line="360" w:lineRule="auto"/>
              <w:widowControl/>
              <w:rPr>
                <w:rFonts w:ascii="宋体" w:hAnsi="宋体" w:eastAsia="宋体"/>
                <w:sz w:val="24"/>
                <w:szCs w:val="24"/>
                <w:highlight w:val="none"/>
              </w:rPr>
            </w:pPr>
            <w:r>
              <w:rPr>
                <w:rFonts w:hint="eastAsia" w:ascii="宋体" w:hAnsi="宋体" w:eastAsia="宋体" w:cs="宋体"/>
                <w:sz w:val="24"/>
                <w:szCs w:val="24"/>
                <w:highlight w:val="none"/>
              </w:rPr>
              <w:t xml:space="preserve">该项未见阐述不得分。</w:t>
            </w:r>
            <w:r/>
          </w:p>
        </w:tc>
      </w:tr>
    </w:tbl>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sz w:val="24"/>
          <w:szCs w:val="24"/>
          <w:highlight w:val="none"/>
        </w:rPr>
      </w:pPr>
      <w:r>
        <w:rPr>
          <w:rFonts w:cs="Times New Roman" w:asciiTheme="minorEastAsia" w:hAnsiTheme="minorEastAsia"/>
          <w:b/>
          <w:sz w:val="24"/>
          <w:szCs w:val="24"/>
          <w:highlight w:val="non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MS Mincho">
    <w:panose1 w:val="02020603050405090304"/>
  </w:font>
  <w:font w:name="Calibri">
    <w:panose1 w:val="020F0502020204030204"/>
  </w:font>
  <w:font w:name="微软雅黑">
    <w:panose1 w:val="020B0503020204020204"/>
  </w:font>
  <w:font w:name="FangSong_GB2312">
    <w:panose1 w:val="02010609060101010101"/>
  </w:font>
  <w:font w:name="Courier New">
    <w:panose1 w:val="02070309020205020404"/>
  </w:font>
  <w:font w:name="金山简黑体">
    <w:panose1 w:val="020B0503020202020204"/>
  </w:font>
  <w:font w:name="Cambria">
    <w:panose1 w:val="02040503050406030204"/>
  </w:font>
  <w:font w:name="隶书">
    <w:panose1 w:val="02010509060101010101"/>
  </w:font>
  <w:font w:name="SimSun">
    <w:panose1 w:val="02010600030101010101"/>
  </w:font>
  <w:font w:name="宋体">
    <w:panose1 w:val="02010600030101010101"/>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t xml:space="preserve">第</w:t>
    </w:r>
    <w:r>
      <w:fldChar w:fldCharType="begin"/>
    </w:r>
    <w:r>
      <w:instrText xml:space="preserve"> PAGE  \* Arabic  \* MERGEFORMAT </w:instrText>
    </w:r>
    <w:r>
      <w:fldChar w:fldCharType="separate"/>
    </w:r>
    <w:r>
      <w:t xml:space="preserve">46</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52</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lang w:eastAsia="zh-CN"/>
      </w:rPr>
      <w:t xml:space="preserve">江苏建友兴业工程项目管理有限公司</w:t>
    </w:r>
    <w:r>
      <w:rPr>
        <w:rFonts w:hint="eastAsia"/>
        <w:lang w:val="en-US" w:eastAsia="zh-CN"/>
      </w:rP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78"/>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79"/>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880"/>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881"/>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887"/>
    <w:link w:val="978"/>
    <w:uiPriority w:val="9"/>
    <w:rPr>
      <w:rFonts w:ascii="Arial" w:hAnsi="Arial" w:eastAsia="Arial" w:cs="Arial"/>
      <w:sz w:val="40"/>
      <w:szCs w:val="40"/>
    </w:rPr>
  </w:style>
  <w:style w:type="character" w:styleId="720">
    <w:name w:val="Heading 2 Char"/>
    <w:basedOn w:val="887"/>
    <w:link w:val="879"/>
    <w:uiPriority w:val="9"/>
    <w:rPr>
      <w:rFonts w:ascii="Arial" w:hAnsi="Arial" w:eastAsia="Arial" w:cs="Arial"/>
      <w:sz w:val="34"/>
    </w:rPr>
  </w:style>
  <w:style w:type="character" w:styleId="721">
    <w:name w:val="Heading 3 Char"/>
    <w:basedOn w:val="887"/>
    <w:link w:val="880"/>
    <w:uiPriority w:val="9"/>
    <w:rPr>
      <w:rFonts w:ascii="Arial" w:hAnsi="Arial" w:eastAsia="Arial" w:cs="Arial"/>
      <w:sz w:val="30"/>
      <w:szCs w:val="30"/>
    </w:rPr>
  </w:style>
  <w:style w:type="character" w:styleId="722">
    <w:name w:val="Heading 4 Char"/>
    <w:basedOn w:val="887"/>
    <w:link w:val="881"/>
    <w:uiPriority w:val="9"/>
    <w:rPr>
      <w:rFonts w:ascii="Arial" w:hAnsi="Arial" w:eastAsia="Arial" w:cs="Arial"/>
      <w:b/>
      <w:bCs/>
      <w:sz w:val="26"/>
      <w:szCs w:val="26"/>
    </w:rPr>
  </w:style>
  <w:style w:type="character" w:styleId="723">
    <w:name w:val="Heading 5 Char"/>
    <w:basedOn w:val="887"/>
    <w:link w:val="882"/>
    <w:uiPriority w:val="9"/>
    <w:rPr>
      <w:rFonts w:ascii="Arial" w:hAnsi="Arial" w:eastAsia="Arial" w:cs="Arial"/>
      <w:b/>
      <w:bCs/>
      <w:sz w:val="24"/>
      <w:szCs w:val="24"/>
    </w:rPr>
  </w:style>
  <w:style w:type="character" w:styleId="724">
    <w:name w:val="Heading 6 Char"/>
    <w:basedOn w:val="887"/>
    <w:link w:val="883"/>
    <w:uiPriority w:val="9"/>
    <w:rPr>
      <w:rFonts w:ascii="Arial" w:hAnsi="Arial" w:eastAsia="Arial" w:cs="Arial"/>
      <w:b/>
      <w:bCs/>
      <w:sz w:val="22"/>
      <w:szCs w:val="22"/>
    </w:rPr>
  </w:style>
  <w:style w:type="character" w:styleId="725">
    <w:name w:val="Heading 7 Char"/>
    <w:basedOn w:val="887"/>
    <w:link w:val="884"/>
    <w:uiPriority w:val="9"/>
    <w:rPr>
      <w:rFonts w:ascii="Arial" w:hAnsi="Arial" w:eastAsia="Arial" w:cs="Arial"/>
      <w:b/>
      <w:bCs/>
      <w:i/>
      <w:iCs/>
      <w:sz w:val="22"/>
      <w:szCs w:val="22"/>
    </w:rPr>
  </w:style>
  <w:style w:type="character" w:styleId="726">
    <w:name w:val="Heading 8 Char"/>
    <w:basedOn w:val="887"/>
    <w:link w:val="885"/>
    <w:uiPriority w:val="9"/>
    <w:rPr>
      <w:rFonts w:ascii="Arial" w:hAnsi="Arial" w:eastAsia="Arial" w:cs="Arial"/>
      <w:i/>
      <w:iCs/>
      <w:sz w:val="22"/>
      <w:szCs w:val="22"/>
    </w:rPr>
  </w:style>
  <w:style w:type="character" w:styleId="727">
    <w:name w:val="Heading 9 Char"/>
    <w:basedOn w:val="887"/>
    <w:link w:val="886"/>
    <w:uiPriority w:val="9"/>
    <w:rPr>
      <w:rFonts w:ascii="Arial" w:hAnsi="Arial" w:eastAsia="Arial" w:cs="Arial"/>
      <w:i/>
      <w:iCs/>
      <w:sz w:val="21"/>
      <w:szCs w:val="21"/>
    </w:rPr>
  </w:style>
  <w:style w:type="paragraph" w:styleId="728">
    <w:name w:val="No Spacing"/>
    <w:uiPriority w:val="1"/>
    <w:qFormat/>
    <w:pPr>
      <w:spacing w:before="0" w:after="0" w:line="240" w:lineRule="auto"/>
    </w:pPr>
  </w:style>
  <w:style w:type="paragraph" w:styleId="729">
    <w:name w:val="Title"/>
    <w:basedOn w:val="877"/>
    <w:next w:val="877"/>
    <w:link w:val="730"/>
    <w:uiPriority w:val="10"/>
    <w:qFormat/>
    <w:pPr>
      <w:contextualSpacing/>
      <w:spacing w:before="300" w:after="200"/>
    </w:pPr>
    <w:rPr>
      <w:sz w:val="48"/>
      <w:szCs w:val="48"/>
    </w:rPr>
  </w:style>
  <w:style w:type="character" w:styleId="730">
    <w:name w:val="Title Char"/>
    <w:basedOn w:val="887"/>
    <w:link w:val="729"/>
    <w:uiPriority w:val="10"/>
    <w:rPr>
      <w:sz w:val="48"/>
      <w:szCs w:val="48"/>
    </w:rPr>
  </w:style>
  <w:style w:type="character" w:styleId="731">
    <w:name w:val="Subtitle Char"/>
    <w:basedOn w:val="887"/>
    <w:link w:val="904"/>
    <w:uiPriority w:val="11"/>
    <w:rPr>
      <w:sz w:val="24"/>
      <w:szCs w:val="24"/>
    </w:rPr>
  </w:style>
  <w:style w:type="paragraph" w:styleId="732">
    <w:name w:val="Quote"/>
    <w:basedOn w:val="877"/>
    <w:next w:val="877"/>
    <w:link w:val="733"/>
    <w:uiPriority w:val="29"/>
    <w:qFormat/>
    <w:pPr>
      <w:ind w:left="720" w:right="720"/>
    </w:pPr>
    <w:rPr>
      <w:i/>
    </w:rPr>
  </w:style>
  <w:style w:type="character" w:styleId="733">
    <w:name w:val="Quote Char"/>
    <w:link w:val="732"/>
    <w:uiPriority w:val="29"/>
    <w:rPr>
      <w:i/>
    </w:rPr>
  </w:style>
  <w:style w:type="paragraph" w:styleId="734">
    <w:name w:val="Intense Quote"/>
    <w:basedOn w:val="877"/>
    <w:next w:val="877"/>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Footer Char"/>
    <w:basedOn w:val="887"/>
    <w:link w:val="901"/>
    <w:uiPriority w:val="99"/>
  </w:style>
  <w:style w:type="paragraph" w:styleId="737">
    <w:name w:val="Caption"/>
    <w:basedOn w:val="877"/>
    <w:next w:val="877"/>
    <w:uiPriority w:val="35"/>
    <w:semiHidden/>
    <w:unhideWhenUsed/>
    <w:qFormat/>
    <w:pPr>
      <w:spacing w:line="276" w:lineRule="auto"/>
    </w:pPr>
    <w:rPr>
      <w:b/>
      <w:bCs/>
      <w:color w:val="4f81bd" w:themeColor="accent1"/>
      <w:sz w:val="18"/>
      <w:szCs w:val="18"/>
    </w:rPr>
  </w:style>
  <w:style w:type="character" w:styleId="738">
    <w:name w:val="Caption Char"/>
    <w:basedOn w:val="737"/>
    <w:link w:val="901"/>
    <w:uiPriority w:val="99"/>
  </w:style>
  <w:style w:type="table" w:styleId="739">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77"/>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7"/>
    <w:uiPriority w:val="99"/>
    <w:unhideWhenUsed/>
    <w:rPr>
      <w:vertAlign w:val="superscript"/>
    </w:rPr>
  </w:style>
  <w:style w:type="paragraph" w:styleId="866">
    <w:name w:val="endnote text"/>
    <w:basedOn w:val="877"/>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7"/>
    <w:uiPriority w:val="99"/>
    <w:semiHidden/>
    <w:unhideWhenUsed/>
    <w:rPr>
      <w:vertAlign w:val="superscript"/>
    </w:r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8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8">
    <w:name w:val="Heading 1"/>
    <w:basedOn w:val="877"/>
    <w:next w:val="877"/>
    <w:link w:val="922"/>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879">
    <w:name w:val="Heading 2"/>
    <w:basedOn w:val="877"/>
    <w:next w:val="877"/>
    <w:link w:val="923"/>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880">
    <w:name w:val="Heading 3"/>
    <w:basedOn w:val="877"/>
    <w:next w:val="877"/>
    <w:link w:val="924"/>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881">
    <w:name w:val="Heading 4"/>
    <w:basedOn w:val="877"/>
    <w:next w:val="877"/>
    <w:link w:val="925"/>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882">
    <w:name w:val="Heading 5"/>
    <w:basedOn w:val="877"/>
    <w:next w:val="877"/>
    <w:link w:val="930"/>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883">
    <w:name w:val="Heading 6"/>
    <w:basedOn w:val="877"/>
    <w:next w:val="877"/>
    <w:link w:val="931"/>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884">
    <w:name w:val="Heading 7"/>
    <w:basedOn w:val="877"/>
    <w:next w:val="877"/>
    <w:link w:val="932"/>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885">
    <w:name w:val="Heading 8"/>
    <w:basedOn w:val="877"/>
    <w:next w:val="877"/>
    <w:link w:val="933"/>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886">
    <w:name w:val="Heading 9"/>
    <w:basedOn w:val="877"/>
    <w:next w:val="877"/>
    <w:link w:val="934"/>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887" w:default="1">
    <w:name w:val="Default Paragraph Font"/>
    <w:uiPriority w:val="1"/>
    <w:unhideWhenUsed/>
    <w:qFormat/>
  </w:style>
  <w:style w:type="table" w:styleId="888" w:default="1">
    <w:name w:val="Normal Table"/>
    <w:uiPriority w:val="99"/>
    <w:semiHidden/>
    <w:unhideWhenUsed/>
    <w:qFormat/>
    <w:tblPr>
      <w:tblCellMar>
        <w:left w:w="108" w:type="dxa"/>
        <w:top w:w="0" w:type="dxa"/>
        <w:right w:w="108" w:type="dxa"/>
        <w:bottom w:w="0" w:type="dxa"/>
      </w:tblCellMar>
    </w:tblPr>
  </w:style>
  <w:style w:type="paragraph" w:styleId="889">
    <w:name w:val="Body Text"/>
    <w:basedOn w:val="877"/>
    <w:next w:val="877"/>
    <w:uiPriority w:val="0"/>
    <w:qFormat/>
    <w:rPr>
      <w:rFonts w:ascii="金山简黑体" w:hAnsi="Courier New" w:eastAsia="金山简黑体"/>
      <w:b/>
      <w:spacing w:val="-8"/>
      <w:sz w:val="44"/>
      <w:szCs w:val="20"/>
    </w:rPr>
  </w:style>
  <w:style w:type="paragraph" w:styleId="890">
    <w:name w:val="Normal Indent"/>
    <w:basedOn w:val="877"/>
    <w:uiPriority w:val="0"/>
    <w:qFormat/>
    <w:pPr>
      <w:jc w:val="left"/>
    </w:pPr>
    <w:rPr>
      <w:rFonts w:ascii="Times New Roman" w:hAnsi="Times New Roman" w:eastAsia="宋体" w:cs="Times New Roman"/>
      <w:spacing w:val="-35"/>
      <w:szCs w:val="24"/>
    </w:rPr>
  </w:style>
  <w:style w:type="paragraph" w:styleId="891">
    <w:name w:val="Document Map"/>
    <w:basedOn w:val="877"/>
    <w:link w:val="945"/>
    <w:uiPriority w:val="99"/>
    <w:semiHidden/>
    <w:unhideWhenUsed/>
    <w:qFormat/>
    <w:rPr>
      <w:rFonts w:ascii="宋体" w:eastAsia="宋体"/>
      <w:sz w:val="18"/>
      <w:szCs w:val="18"/>
    </w:rPr>
  </w:style>
  <w:style w:type="paragraph" w:styleId="892">
    <w:name w:val="annotation text"/>
    <w:basedOn w:val="877"/>
    <w:link w:val="937"/>
    <w:uiPriority w:val="0"/>
    <w:qFormat/>
    <w:pPr>
      <w:ind w:firstLine="922"/>
      <w:jc w:val="left"/>
      <w:spacing w:line="360" w:lineRule="auto"/>
    </w:pPr>
    <w:rPr>
      <w:rFonts w:ascii="Times New Roman" w:hAnsi="Times New Roman" w:eastAsia="宋体" w:cs="Times New Roman"/>
      <w:szCs w:val="24"/>
    </w:rPr>
  </w:style>
  <w:style w:type="paragraph" w:styleId="893">
    <w:name w:val="Body Text 3"/>
    <w:basedOn w:val="877"/>
    <w:link w:val="948"/>
    <w:uiPriority w:val="0"/>
    <w:qFormat/>
    <w:pPr>
      <w:spacing w:after="120"/>
    </w:pPr>
    <w:rPr>
      <w:rFonts w:ascii="Times New Roman" w:hAnsi="Times New Roman" w:eastAsia="宋体" w:cs="Times New Roman"/>
      <w:sz w:val="16"/>
      <w:szCs w:val="16"/>
    </w:rPr>
  </w:style>
  <w:style w:type="paragraph" w:styleId="894">
    <w:name w:val="Body Text Indent"/>
    <w:basedOn w:val="877"/>
    <w:link w:val="949"/>
    <w:uiPriority w:val="0"/>
    <w:qFormat/>
    <w:pPr>
      <w:ind w:firstLine="640"/>
      <w:spacing w:line="500" w:lineRule="exact"/>
      <w:tabs>
        <w:tab w:val="left" w:pos="675" w:leader="none"/>
      </w:tabs>
    </w:pPr>
    <w:rPr>
      <w:rFonts w:ascii="FangSong_GB2312" w:hAnsi="Times New Roman" w:eastAsia="FangSong_GB2312" w:cs="Times New Roman"/>
      <w:sz w:val="32"/>
      <w:szCs w:val="24"/>
    </w:rPr>
  </w:style>
  <w:style w:type="paragraph" w:styleId="895">
    <w:name w:val="List 2"/>
    <w:basedOn w:val="877"/>
    <w:uiPriority w:val="0"/>
    <w:qFormat/>
    <w:pPr>
      <w:ind w:left="840" w:hanging="420"/>
    </w:pPr>
    <w:rPr>
      <w:rFonts w:ascii="隶书" w:hAnsi="Times New Roman" w:eastAsia="FangSong_GB2312" w:cs="Times New Roman"/>
      <w:color w:val="000000"/>
      <w:sz w:val="32"/>
      <w:szCs w:val="20"/>
    </w:rPr>
  </w:style>
  <w:style w:type="paragraph" w:styleId="896">
    <w:name w:val="toc 3"/>
    <w:basedOn w:val="877"/>
    <w:next w:val="877"/>
    <w:uiPriority w:val="39"/>
    <w:unhideWhenUsed/>
    <w:qFormat/>
    <w:pPr>
      <w:ind w:left="420" w:firstLine="922"/>
      <w:jc w:val="left"/>
      <w:spacing w:line="360" w:lineRule="auto"/>
    </w:pPr>
    <w:rPr>
      <w:rFonts w:ascii="Calibri" w:hAnsi="Calibri" w:eastAsia="宋体" w:cs="Times New Roman"/>
      <w:sz w:val="20"/>
      <w:szCs w:val="20"/>
    </w:rPr>
  </w:style>
  <w:style w:type="paragraph" w:styleId="897">
    <w:name w:val="Plain Text"/>
    <w:basedOn w:val="877"/>
    <w:link w:val="927"/>
    <w:uiPriority w:val="0"/>
    <w:qFormat/>
    <w:pPr>
      <w:ind w:firstLine="922"/>
      <w:spacing w:line="360" w:lineRule="auto"/>
    </w:pPr>
    <w:rPr>
      <w:rFonts w:ascii="宋体" w:hAnsi="Courier New"/>
    </w:rPr>
  </w:style>
  <w:style w:type="paragraph" w:styleId="898">
    <w:name w:val="Date"/>
    <w:basedOn w:val="877"/>
    <w:next w:val="877"/>
    <w:link w:val="950"/>
    <w:uiPriority w:val="0"/>
    <w:qFormat/>
    <w:pPr>
      <w:ind w:left="100"/>
    </w:pPr>
    <w:rPr>
      <w:rFonts w:ascii="FangSong_GB2312" w:hAnsi="Times New Roman" w:eastAsia="FangSong_GB2312" w:cs="Times New Roman"/>
      <w:sz w:val="32"/>
      <w:szCs w:val="24"/>
    </w:rPr>
  </w:style>
  <w:style w:type="paragraph" w:styleId="899">
    <w:name w:val="Body Text Indent 2"/>
    <w:basedOn w:val="877"/>
    <w:link w:val="951"/>
    <w:uiPriority w:val="0"/>
    <w:qFormat/>
    <w:pPr>
      <w:ind w:firstLine="645"/>
      <w:spacing w:line="440" w:lineRule="exact"/>
    </w:pPr>
    <w:rPr>
      <w:rFonts w:ascii="Times New Roman" w:hAnsi="Times New Roman" w:eastAsia="FangSong_GB2312" w:cs="Times New Roman"/>
      <w:sz w:val="32"/>
      <w:szCs w:val="24"/>
    </w:rPr>
  </w:style>
  <w:style w:type="paragraph" w:styleId="900">
    <w:name w:val="Balloon Text"/>
    <w:basedOn w:val="877"/>
    <w:link w:val="938"/>
    <w:uiPriority w:val="0"/>
    <w:semiHidden/>
    <w:qFormat/>
    <w:pPr>
      <w:ind w:firstLine="922"/>
    </w:pPr>
    <w:rPr>
      <w:rFonts w:ascii="Times New Roman" w:hAnsi="Times New Roman" w:eastAsia="宋体" w:cs="Times New Roman"/>
      <w:sz w:val="18"/>
      <w:szCs w:val="18"/>
    </w:rPr>
  </w:style>
  <w:style w:type="paragraph" w:styleId="901">
    <w:name w:val="Footer"/>
    <w:basedOn w:val="877"/>
    <w:link w:val="95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02">
    <w:name w:val="Header"/>
    <w:basedOn w:val="877"/>
    <w:link w:val="954"/>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03">
    <w:name w:val="toc 1"/>
    <w:basedOn w:val="877"/>
    <w:next w:val="877"/>
    <w:uiPriority w:val="39"/>
    <w:qFormat/>
    <w:pPr>
      <w:ind w:firstLine="922"/>
      <w:jc w:val="left"/>
      <w:spacing w:before="120" w:line="360" w:lineRule="auto"/>
    </w:pPr>
    <w:rPr>
      <w:rFonts w:ascii="Calibri" w:hAnsi="Calibri" w:eastAsia="宋体" w:cs="Times New Roman"/>
      <w:b/>
      <w:bCs/>
      <w:i/>
      <w:iCs/>
      <w:sz w:val="24"/>
      <w:szCs w:val="24"/>
    </w:rPr>
  </w:style>
  <w:style w:type="paragraph" w:styleId="904">
    <w:name w:val="Subtitle"/>
    <w:basedOn w:val="877"/>
    <w:next w:val="877"/>
    <w:link w:val="926"/>
    <w:uiPriority w:val="0"/>
    <w:qFormat/>
    <w:pPr>
      <w:ind w:firstLine="922"/>
      <w:jc w:val="center"/>
      <w:spacing w:before="240" w:after="60" w:line="312" w:lineRule="auto"/>
      <w:outlineLvl w:val="1"/>
    </w:pPr>
    <w:rPr>
      <w:rFonts w:ascii="Cambria" w:hAnsi="Cambria"/>
      <w:b/>
      <w:bCs/>
      <w:sz w:val="32"/>
      <w:szCs w:val="32"/>
    </w:rPr>
  </w:style>
  <w:style w:type="paragraph" w:styleId="905">
    <w:name w:val="Body Text Indent 3"/>
    <w:basedOn w:val="877"/>
    <w:link w:val="955"/>
    <w:uiPriority w:val="0"/>
    <w:qFormat/>
    <w:pPr>
      <w:ind w:firstLine="800"/>
      <w:spacing w:line="360" w:lineRule="auto"/>
    </w:pPr>
    <w:rPr>
      <w:rFonts w:ascii="FangSong_GB2312" w:hAnsi="华文中宋" w:eastAsia="FangSong_GB2312" w:cs="Times New Roman"/>
      <w:sz w:val="32"/>
      <w:szCs w:val="32"/>
    </w:rPr>
  </w:style>
  <w:style w:type="paragraph" w:styleId="906">
    <w:name w:val="toc 2"/>
    <w:basedOn w:val="877"/>
    <w:next w:val="877"/>
    <w:uiPriority w:val="39"/>
    <w:unhideWhenUsed/>
    <w:qFormat/>
    <w:pPr>
      <w:ind w:left="210" w:firstLine="922"/>
      <w:jc w:val="left"/>
      <w:spacing w:before="120" w:line="360" w:lineRule="auto"/>
    </w:pPr>
    <w:rPr>
      <w:rFonts w:ascii="Calibri" w:hAnsi="Calibri" w:eastAsia="宋体" w:cs="Times New Roman"/>
      <w:b/>
      <w:bCs/>
      <w:sz w:val="22"/>
    </w:rPr>
  </w:style>
  <w:style w:type="paragraph" w:styleId="907">
    <w:name w:val="Body Text 2"/>
    <w:basedOn w:val="877"/>
    <w:link w:val="956"/>
    <w:uiPriority w:val="0"/>
    <w:qFormat/>
    <w:pPr>
      <w:jc w:val="center"/>
    </w:pPr>
    <w:rPr>
      <w:rFonts w:ascii="Times New Roman" w:hAnsi="Times New Roman" w:eastAsia="宋体" w:cs="Times New Roman"/>
      <w:szCs w:val="24"/>
    </w:rPr>
  </w:style>
  <w:style w:type="paragraph" w:styleId="908">
    <w:name w:val="HTML Preformatted"/>
    <w:basedOn w:val="877"/>
    <w:link w:val="939"/>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909">
    <w:name w:val="Normal (Web)"/>
    <w:basedOn w:val="877"/>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910">
    <w:name w:val="index 1"/>
    <w:basedOn w:val="877"/>
    <w:next w:val="877"/>
    <w:uiPriority w:val="0"/>
    <w:qFormat/>
    <w:pPr>
      <w:ind w:firstLine="200"/>
      <w:spacing w:line="360" w:lineRule="auto"/>
    </w:pPr>
    <w:rPr>
      <w:rFonts w:ascii="Times New Roman" w:hAnsi="Times New Roman" w:eastAsia="宋体" w:cs="Times New Roman"/>
      <w:szCs w:val="24"/>
    </w:rPr>
  </w:style>
  <w:style w:type="paragraph" w:styleId="911">
    <w:name w:val="annotation subject"/>
    <w:basedOn w:val="892"/>
    <w:next w:val="892"/>
    <w:link w:val="944"/>
    <w:uiPriority w:val="0"/>
    <w:semiHidden/>
    <w:unhideWhenUsed/>
    <w:qFormat/>
    <w:pPr>
      <w:ind w:firstLine="0"/>
      <w:spacing w:line="240" w:lineRule="auto"/>
    </w:pPr>
    <w:rPr>
      <w:rFonts w:asciiTheme="minorHAnsi" w:hAnsiTheme="minorHAnsi" w:eastAsiaTheme="minorEastAsia" w:cstheme="minorBidi"/>
      <w:b/>
      <w:bCs/>
      <w:szCs w:val="22"/>
    </w:rPr>
  </w:style>
  <w:style w:type="table" w:styleId="912">
    <w:name w:val="Table Grid"/>
    <w:basedOn w:val="888"/>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name w:val="Strong"/>
    <w:uiPriority w:val="0"/>
    <w:qFormat/>
    <w:rPr>
      <w:b/>
      <w:bCs/>
    </w:rPr>
  </w:style>
  <w:style w:type="character" w:styleId="914">
    <w:name w:val="page number"/>
    <w:uiPriority w:val="0"/>
    <w:qFormat/>
  </w:style>
  <w:style w:type="character" w:styleId="915">
    <w:name w:val="FollowedHyperlink"/>
    <w:uiPriority w:val="0"/>
    <w:unhideWhenUsed/>
    <w:qFormat/>
    <w:rPr>
      <w:color w:val="800080"/>
      <w:u w:val="single"/>
    </w:rPr>
  </w:style>
  <w:style w:type="character" w:styleId="916">
    <w:name w:val="Hyperlink"/>
    <w:uiPriority w:val="99"/>
    <w:qFormat/>
    <w:rPr>
      <w:color w:val="0000ff"/>
      <w:u w:val="single"/>
    </w:rPr>
  </w:style>
  <w:style w:type="character" w:styleId="917">
    <w:name w:val="annotation reference"/>
    <w:uiPriority w:val="0"/>
    <w:qFormat/>
    <w:rPr>
      <w:sz w:val="21"/>
      <w:szCs w:val="21"/>
    </w:rPr>
  </w:style>
  <w:style w:type="paragraph" w:styleId="91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19" w:customStyle="1">
    <w:name w:val="Char"/>
    <w:basedOn w:val="877"/>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20" w:customStyle="1">
    <w:name w:val="1"/>
    <w:basedOn w:val="877"/>
    <w:link w:val="921"/>
    <w:uiPriority w:val="0"/>
    <w:qFormat/>
    <w:pPr>
      <w:jc w:val="left"/>
      <w:spacing w:line="360" w:lineRule="auto"/>
    </w:pPr>
    <w:rPr>
      <w:szCs w:val="24"/>
    </w:rPr>
  </w:style>
  <w:style w:type="character" w:styleId="921" w:customStyle="1">
    <w:name w:val="1 Char"/>
    <w:link w:val="920"/>
    <w:uiPriority w:val="0"/>
    <w:qFormat/>
    <w:rPr>
      <w:szCs w:val="24"/>
    </w:rPr>
  </w:style>
  <w:style w:type="character" w:styleId="922" w:customStyle="1">
    <w:name w:val="标题 1 Char"/>
    <w:basedOn w:val="887"/>
    <w:link w:val="878"/>
    <w:uiPriority w:val="0"/>
    <w:qFormat/>
    <w:rPr>
      <w:rFonts w:ascii="Times New Roman" w:hAnsi="Times New Roman" w:eastAsia="黑体" w:cs="Times New Roman"/>
      <w:b/>
      <w:sz w:val="36"/>
      <w:szCs w:val="20"/>
    </w:rPr>
  </w:style>
  <w:style w:type="character" w:styleId="923" w:customStyle="1">
    <w:name w:val="标题 2 Char"/>
    <w:basedOn w:val="887"/>
    <w:link w:val="879"/>
    <w:uiPriority w:val="0"/>
    <w:qFormat/>
    <w:rPr>
      <w:rFonts w:ascii="Times New Roman" w:hAnsi="Times New Roman" w:eastAsia="黑体" w:cs="Times New Roman"/>
      <w:b/>
      <w:sz w:val="28"/>
      <w:szCs w:val="20"/>
    </w:rPr>
  </w:style>
  <w:style w:type="character" w:styleId="924" w:customStyle="1">
    <w:name w:val="标题 3 Char"/>
    <w:basedOn w:val="887"/>
    <w:link w:val="880"/>
    <w:uiPriority w:val="0"/>
    <w:qFormat/>
    <w:rPr>
      <w:rFonts w:ascii="Times New Roman" w:hAnsi="Times New Roman" w:eastAsia="黑体" w:cs="Times New Roman"/>
      <w:b/>
      <w:sz w:val="28"/>
      <w:szCs w:val="20"/>
    </w:rPr>
  </w:style>
  <w:style w:type="character" w:styleId="925" w:customStyle="1">
    <w:name w:val="标题 4 Char"/>
    <w:basedOn w:val="887"/>
    <w:link w:val="881"/>
    <w:uiPriority w:val="0"/>
    <w:qFormat/>
    <w:rPr>
      <w:rFonts w:ascii="Arial" w:hAnsi="Times New Roman" w:eastAsia="黑体" w:cs="Times New Roman"/>
      <w:sz w:val="28"/>
      <w:szCs w:val="20"/>
    </w:rPr>
  </w:style>
  <w:style w:type="character" w:styleId="926" w:customStyle="1">
    <w:name w:val="副标题 Char"/>
    <w:link w:val="904"/>
    <w:uiPriority w:val="0"/>
    <w:qFormat/>
    <w:rPr>
      <w:rFonts w:ascii="Cambria" w:hAnsi="Cambria"/>
      <w:b/>
      <w:bCs/>
      <w:sz w:val="32"/>
      <w:szCs w:val="32"/>
    </w:rPr>
  </w:style>
  <w:style w:type="character" w:styleId="927" w:customStyle="1">
    <w:name w:val="纯文本 Char"/>
    <w:link w:val="897"/>
    <w:uiPriority w:val="0"/>
    <w:qFormat/>
    <w:rPr>
      <w:rFonts w:ascii="宋体" w:hAnsi="Courier New"/>
    </w:rPr>
  </w:style>
  <w:style w:type="paragraph" w:styleId="928">
    <w:name w:val="List Paragraph"/>
    <w:basedOn w:val="877"/>
    <w:uiPriority w:val="0"/>
    <w:qFormat/>
    <w:pPr>
      <w:ind w:firstLine="420"/>
      <w:spacing w:line="360" w:lineRule="auto"/>
    </w:pPr>
    <w:rPr>
      <w:rFonts w:ascii="Times New Roman" w:hAnsi="Times New Roman" w:eastAsia="宋体" w:cs="Times New Roman"/>
      <w:szCs w:val="24"/>
    </w:rPr>
  </w:style>
  <w:style w:type="paragraph" w:styleId="929" w:customStyle="1">
    <w:name w:val="TOC 标题1"/>
    <w:basedOn w:val="878"/>
    <w:next w:val="877"/>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930" w:customStyle="1">
    <w:name w:val="标题 5 Char"/>
    <w:basedOn w:val="887"/>
    <w:link w:val="882"/>
    <w:uiPriority w:val="0"/>
    <w:semiHidden/>
    <w:qFormat/>
    <w:rPr>
      <w:rFonts w:ascii="Times New Roman" w:hAnsi="Times New Roman" w:eastAsia="宋体" w:cs="Times New Roman"/>
      <w:b/>
      <w:bCs/>
      <w:sz w:val="28"/>
      <w:szCs w:val="28"/>
    </w:rPr>
  </w:style>
  <w:style w:type="character" w:styleId="931" w:customStyle="1">
    <w:name w:val="标题 6 Char"/>
    <w:basedOn w:val="887"/>
    <w:link w:val="883"/>
    <w:uiPriority w:val="0"/>
    <w:semiHidden/>
    <w:qFormat/>
    <w:rPr>
      <w:rFonts w:ascii="Cambria" w:hAnsi="Cambria" w:eastAsia="宋体" w:cs="Times New Roman"/>
      <w:b/>
      <w:bCs/>
      <w:sz w:val="24"/>
      <w:szCs w:val="24"/>
    </w:rPr>
  </w:style>
  <w:style w:type="character" w:styleId="932" w:customStyle="1">
    <w:name w:val="标题 7 Char"/>
    <w:basedOn w:val="887"/>
    <w:link w:val="884"/>
    <w:uiPriority w:val="0"/>
    <w:semiHidden/>
    <w:qFormat/>
    <w:rPr>
      <w:rFonts w:ascii="Times New Roman" w:hAnsi="Times New Roman" w:eastAsia="宋体" w:cs="Times New Roman"/>
      <w:b/>
      <w:bCs/>
      <w:sz w:val="24"/>
      <w:szCs w:val="24"/>
    </w:rPr>
  </w:style>
  <w:style w:type="character" w:styleId="933" w:customStyle="1">
    <w:name w:val="标题 8 Char"/>
    <w:basedOn w:val="887"/>
    <w:link w:val="885"/>
    <w:uiPriority w:val="0"/>
    <w:semiHidden/>
    <w:qFormat/>
    <w:rPr>
      <w:rFonts w:ascii="Cambria" w:hAnsi="Cambria" w:eastAsia="宋体" w:cs="Times New Roman"/>
      <w:sz w:val="24"/>
      <w:szCs w:val="24"/>
    </w:rPr>
  </w:style>
  <w:style w:type="character" w:styleId="934" w:customStyle="1">
    <w:name w:val="标题 9 Char"/>
    <w:basedOn w:val="887"/>
    <w:link w:val="886"/>
    <w:uiPriority w:val="0"/>
    <w:semiHidden/>
    <w:qFormat/>
    <w:rPr>
      <w:rFonts w:ascii="Cambria" w:hAnsi="Cambria" w:eastAsia="宋体" w:cs="Times New Roman"/>
      <w:szCs w:val="21"/>
    </w:rPr>
  </w:style>
  <w:style w:type="paragraph" w:styleId="935" w:customStyle="1">
    <w:name w:val="Default"/>
    <w:link w:val="936"/>
    <w:uiPriority w:val="99"/>
    <w:qFormat/>
    <w:pPr>
      <w:widowControl w:val="off"/>
    </w:pPr>
    <w:rPr>
      <w:rFonts w:ascii="MS Mincho" w:hAnsi="Calibri" w:eastAsia="宋体" w:cs="Times New Roman"/>
      <w:color w:val="000000"/>
      <w:sz w:val="21"/>
      <w:szCs w:val="24"/>
      <w:lang w:val="en-US" w:eastAsia="zh-CN" w:bidi="ar-SA"/>
    </w:rPr>
  </w:style>
  <w:style w:type="character" w:styleId="936" w:customStyle="1">
    <w:name w:val="Default Char"/>
    <w:link w:val="935"/>
    <w:uiPriority w:val="99"/>
    <w:qFormat/>
    <w:rPr>
      <w:rFonts w:ascii="MS Mincho" w:hAnsi="Calibri" w:eastAsia="宋体" w:cs="Times New Roman"/>
      <w:color w:val="000000"/>
      <w:szCs w:val="24"/>
    </w:rPr>
  </w:style>
  <w:style w:type="character" w:styleId="937" w:customStyle="1">
    <w:name w:val="批注文字 Char"/>
    <w:basedOn w:val="887"/>
    <w:link w:val="892"/>
    <w:uiPriority w:val="0"/>
    <w:qFormat/>
    <w:rPr>
      <w:rFonts w:ascii="Times New Roman" w:hAnsi="Times New Roman" w:eastAsia="宋体" w:cs="Times New Roman"/>
      <w:szCs w:val="24"/>
    </w:rPr>
  </w:style>
  <w:style w:type="character" w:styleId="938" w:customStyle="1">
    <w:name w:val="批注框文本 Char"/>
    <w:basedOn w:val="887"/>
    <w:link w:val="900"/>
    <w:uiPriority w:val="0"/>
    <w:semiHidden/>
    <w:qFormat/>
    <w:rPr>
      <w:rFonts w:ascii="Times New Roman" w:hAnsi="Times New Roman" w:eastAsia="宋体" w:cs="Times New Roman"/>
      <w:sz w:val="18"/>
      <w:szCs w:val="18"/>
    </w:rPr>
  </w:style>
  <w:style w:type="character" w:styleId="939" w:customStyle="1">
    <w:name w:val="HTML 预设格式 Char"/>
    <w:link w:val="908"/>
    <w:uiPriority w:val="0"/>
    <w:qFormat/>
    <w:rPr>
      <w:rFonts w:ascii="宋体" w:hAnsi="宋体" w:cs="宋体"/>
      <w:sz w:val="24"/>
      <w:szCs w:val="24"/>
    </w:rPr>
  </w:style>
  <w:style w:type="character" w:styleId="940" w:customStyle="1">
    <w:name w:val="HTML 预设格式 Char1"/>
    <w:basedOn w:val="887"/>
    <w:uiPriority w:val="99"/>
    <w:semiHidden/>
    <w:qFormat/>
    <w:rPr>
      <w:rFonts w:ascii="Courier New" w:hAnsi="Courier New" w:cs="Courier New"/>
      <w:sz w:val="20"/>
      <w:szCs w:val="20"/>
    </w:rPr>
  </w:style>
  <w:style w:type="character" w:styleId="941" w:customStyle="1">
    <w:name w:val="普通正文 Char"/>
    <w:link w:val="942"/>
    <w:uiPriority w:val="0"/>
    <w:qFormat/>
    <w:rPr>
      <w:rFonts w:ascii="Arial" w:hAnsi="Arial"/>
      <w:sz w:val="24"/>
      <w:szCs w:val="24"/>
    </w:rPr>
  </w:style>
  <w:style w:type="paragraph" w:styleId="942" w:customStyle="1">
    <w:name w:val="普通正文"/>
    <w:basedOn w:val="877"/>
    <w:link w:val="941"/>
    <w:uiPriority w:val="0"/>
    <w:qFormat/>
    <w:pPr>
      <w:ind w:firstLine="480"/>
      <w:jc w:val="left"/>
      <w:spacing w:before="120" w:after="120" w:line="360" w:lineRule="auto"/>
    </w:pPr>
    <w:rPr>
      <w:rFonts w:ascii="Arial" w:hAnsi="Arial"/>
      <w:sz w:val="24"/>
      <w:szCs w:val="24"/>
    </w:rPr>
  </w:style>
  <w:style w:type="paragraph" w:styleId="943" w:customStyle="1">
    <w:name w:val="Char1"/>
    <w:basedOn w:val="877"/>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944" w:customStyle="1">
    <w:name w:val="批注主题 Char"/>
    <w:basedOn w:val="937"/>
    <w:link w:val="911"/>
    <w:uiPriority w:val="99"/>
    <w:semiHidden/>
    <w:qFormat/>
    <w:rPr>
      <w:rFonts w:ascii="Times New Roman" w:hAnsi="Times New Roman" w:eastAsia="宋体" w:cs="Times New Roman"/>
      <w:b/>
      <w:bCs/>
      <w:szCs w:val="24"/>
    </w:rPr>
  </w:style>
  <w:style w:type="character" w:styleId="945" w:customStyle="1">
    <w:name w:val="文档结构图 Char"/>
    <w:basedOn w:val="887"/>
    <w:link w:val="891"/>
    <w:uiPriority w:val="99"/>
    <w:semiHidden/>
    <w:qFormat/>
    <w:rPr>
      <w:rFonts w:ascii="宋体" w:eastAsia="宋体"/>
      <w:sz w:val="18"/>
      <w:szCs w:val="18"/>
    </w:rPr>
  </w:style>
  <w:style w:type="paragraph" w:styleId="946"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47" w:customStyle="1">
    <w:name w:val="段"/>
    <w:next w:val="877"/>
    <w:uiPriority w:val="0"/>
    <w:qFormat/>
    <w:pPr>
      <w:ind w:firstLine="200"/>
      <w:jc w:val="both"/>
    </w:pPr>
    <w:rPr>
      <w:rFonts w:ascii="宋体" w:hAnsi="Times New Roman" w:eastAsia="宋体" w:cs="Times New Roman"/>
      <w:sz w:val="21"/>
      <w:szCs w:val="22"/>
      <w:lang w:val="en-US" w:eastAsia="zh-CN" w:bidi="ar-SA"/>
    </w:rPr>
  </w:style>
  <w:style w:type="character" w:styleId="948" w:customStyle="1">
    <w:name w:val="正文文本 3 Char"/>
    <w:basedOn w:val="887"/>
    <w:link w:val="893"/>
    <w:uiPriority w:val="0"/>
    <w:qFormat/>
    <w:rPr>
      <w:rFonts w:ascii="Times New Roman" w:hAnsi="Times New Roman" w:eastAsia="宋体" w:cs="Times New Roman"/>
      <w:sz w:val="16"/>
      <w:szCs w:val="16"/>
    </w:rPr>
  </w:style>
  <w:style w:type="character" w:styleId="949" w:customStyle="1">
    <w:name w:val="正文文本缩进 Char"/>
    <w:basedOn w:val="887"/>
    <w:link w:val="894"/>
    <w:uiPriority w:val="0"/>
    <w:qFormat/>
    <w:rPr>
      <w:rFonts w:ascii="FangSong_GB2312" w:hAnsi="Times New Roman" w:eastAsia="FangSong_GB2312" w:cs="Times New Roman"/>
      <w:sz w:val="32"/>
      <w:szCs w:val="24"/>
    </w:rPr>
  </w:style>
  <w:style w:type="character" w:styleId="950" w:customStyle="1">
    <w:name w:val="日期 Char"/>
    <w:basedOn w:val="887"/>
    <w:link w:val="898"/>
    <w:uiPriority w:val="0"/>
    <w:qFormat/>
    <w:rPr>
      <w:rFonts w:ascii="FangSong_GB2312" w:hAnsi="Times New Roman" w:eastAsia="FangSong_GB2312" w:cs="Times New Roman"/>
      <w:sz w:val="32"/>
      <w:szCs w:val="24"/>
    </w:rPr>
  </w:style>
  <w:style w:type="character" w:styleId="951" w:customStyle="1">
    <w:name w:val="正文文本缩进 2 Char"/>
    <w:basedOn w:val="887"/>
    <w:link w:val="899"/>
    <w:uiPriority w:val="0"/>
    <w:qFormat/>
    <w:rPr>
      <w:rFonts w:ascii="Times New Roman" w:hAnsi="Times New Roman" w:eastAsia="FangSong_GB2312" w:cs="Times New Roman"/>
      <w:sz w:val="32"/>
      <w:szCs w:val="24"/>
    </w:rPr>
  </w:style>
  <w:style w:type="character" w:styleId="952" w:customStyle="1">
    <w:name w:val="页脚 Char"/>
    <w:basedOn w:val="887"/>
    <w:link w:val="901"/>
    <w:uiPriority w:val="0"/>
    <w:qFormat/>
    <w:rPr>
      <w:sz w:val="18"/>
      <w:szCs w:val="18"/>
    </w:rPr>
  </w:style>
  <w:style w:type="character" w:styleId="953" w:customStyle="1">
    <w:name w:val="页脚 Char1"/>
    <w:link w:val="901"/>
    <w:uiPriority w:val="0"/>
    <w:qFormat/>
    <w:rPr>
      <w:rFonts w:ascii="Times New Roman" w:hAnsi="Times New Roman" w:eastAsia="宋体" w:cs="Times New Roman"/>
      <w:sz w:val="18"/>
      <w:szCs w:val="18"/>
    </w:rPr>
  </w:style>
  <w:style w:type="character" w:styleId="954" w:customStyle="1">
    <w:name w:val="页眉 Char"/>
    <w:basedOn w:val="887"/>
    <w:link w:val="902"/>
    <w:uiPriority w:val="0"/>
    <w:qFormat/>
    <w:rPr>
      <w:rFonts w:ascii="Times New Roman" w:hAnsi="Times New Roman" w:eastAsia="宋体" w:cs="Times New Roman"/>
      <w:sz w:val="18"/>
      <w:szCs w:val="18"/>
    </w:rPr>
  </w:style>
  <w:style w:type="character" w:styleId="955" w:customStyle="1">
    <w:name w:val="正文文本缩进 3 Char"/>
    <w:basedOn w:val="887"/>
    <w:link w:val="905"/>
    <w:uiPriority w:val="0"/>
    <w:qFormat/>
    <w:rPr>
      <w:rFonts w:ascii="FangSong_GB2312" w:hAnsi="华文中宋" w:eastAsia="FangSong_GB2312" w:cs="Times New Roman"/>
      <w:sz w:val="32"/>
      <w:szCs w:val="32"/>
    </w:rPr>
  </w:style>
  <w:style w:type="character" w:styleId="956" w:customStyle="1">
    <w:name w:val="正文文本 2 Char"/>
    <w:basedOn w:val="887"/>
    <w:link w:val="907"/>
    <w:uiPriority w:val="0"/>
    <w:qFormat/>
    <w:rPr>
      <w:rFonts w:ascii="Times New Roman" w:hAnsi="Times New Roman" w:eastAsia="宋体" w:cs="Times New Roman"/>
      <w:sz w:val="21"/>
      <w:szCs w:val="24"/>
    </w:rPr>
  </w:style>
  <w:style w:type="table" w:styleId="957" w:customStyle="1">
    <w:name w:val="网格型1"/>
    <w:basedOn w:val="8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8" w:customStyle="1">
    <w:name w:val="Header Char"/>
    <w:uiPriority w:val="0"/>
    <w:qFormat/>
    <w:rPr>
      <w:rFonts w:cs="Times New Roman"/>
      <w:sz w:val="18"/>
      <w:szCs w:val="18"/>
    </w:rPr>
  </w:style>
  <w:style w:type="character" w:styleId="959" w:customStyle="1">
    <w:name w:val="style341"/>
    <w:uiPriority w:val="0"/>
    <w:qFormat/>
  </w:style>
  <w:style w:type="paragraph" w:styleId="960" w:customStyle="1">
    <w:name w:val="p0"/>
    <w:basedOn w:val="877"/>
    <w:uiPriority w:val="0"/>
    <w:qFormat/>
    <w:pPr>
      <w:widowControl/>
    </w:pPr>
    <w:rPr>
      <w:rFonts w:ascii="Calibri" w:hAnsi="Calibri" w:eastAsia="宋体" w:cs="宋体"/>
      <w:szCs w:val="21"/>
    </w:rPr>
  </w:style>
  <w:style w:type="paragraph" w:styleId="961" w:customStyle="1">
    <w:name w:val="Char Char Char Char Char1 Char Char Char"/>
    <w:basedOn w:val="877"/>
    <w:uiPriority w:val="0"/>
    <w:qFormat/>
    <w:pPr>
      <w:jc w:val="left"/>
      <w:spacing w:after="160" w:line="240" w:lineRule="exact"/>
      <w:widowControl/>
    </w:pPr>
    <w:rPr>
      <w:rFonts w:ascii="Times New Roman" w:hAnsi="Times New Roman" w:eastAsia="宋体" w:cs="Times New Roman"/>
      <w:szCs w:val="24"/>
    </w:rPr>
  </w:style>
  <w:style w:type="paragraph" w:styleId="962" w:customStyle="1">
    <w:name w:val="p15"/>
    <w:basedOn w:val="877"/>
    <w:uiPriority w:val="0"/>
    <w:qFormat/>
    <w:pPr>
      <w:ind w:firstLine="420"/>
      <w:widowControl/>
    </w:pPr>
    <w:rPr>
      <w:rFonts w:ascii="Calibri" w:hAnsi="Calibri" w:eastAsia="宋体" w:cs="宋体"/>
      <w:szCs w:val="21"/>
    </w:rPr>
  </w:style>
  <w:style w:type="paragraph" w:styleId="963" w:customStyle="1">
    <w:name w:val="_Style 31"/>
    <w:basedOn w:val="877"/>
    <w:uiPriority w:val="0"/>
    <w:qFormat/>
    <w:pPr>
      <w:jc w:val="left"/>
      <w:spacing w:after="160" w:line="240" w:lineRule="exact"/>
      <w:widowControl/>
    </w:pPr>
    <w:rPr>
      <w:rFonts w:ascii="Verdana" w:hAnsi="Verdana" w:eastAsia="FangSong_GB2312" w:cs="Times New Roman"/>
      <w:sz w:val="24"/>
      <w:szCs w:val="20"/>
      <w:lang w:eastAsia="en-US"/>
    </w:rPr>
  </w:style>
  <w:style w:type="paragraph" w:styleId="964" w:customStyle="1">
    <w:name w:val="_Style 3"/>
    <w:basedOn w:val="877"/>
    <w:uiPriority w:val="0"/>
    <w:qFormat/>
    <w:pPr>
      <w:jc w:val="left"/>
      <w:spacing w:after="160" w:line="240" w:lineRule="exact"/>
      <w:widowControl/>
    </w:pPr>
    <w:rPr>
      <w:rFonts w:ascii="Verdana" w:hAnsi="Verdana" w:eastAsia="FangSong_GB2312" w:cs="Times New Roman"/>
      <w:sz w:val="24"/>
      <w:szCs w:val="20"/>
      <w:lang w:eastAsia="en-US"/>
    </w:rPr>
  </w:style>
  <w:style w:type="paragraph" w:styleId="965" w:customStyle="1">
    <w:name w:val="Char2"/>
    <w:basedOn w:val="877"/>
    <w:uiPriority w:val="0"/>
    <w:qFormat/>
    <w:pPr>
      <w:tabs>
        <w:tab w:val="left" w:pos="360" w:leader="none"/>
      </w:tabs>
    </w:pPr>
    <w:rPr>
      <w:rFonts w:ascii="Times New Roman" w:hAnsi="Times New Roman" w:eastAsia="宋体" w:cs="Times New Roman"/>
      <w:sz w:val="24"/>
      <w:szCs w:val="24"/>
    </w:rPr>
  </w:style>
  <w:style w:type="paragraph" w:styleId="966" w:customStyle="1">
    <w:name w:val="Char Char Char Char Char Char Char Char Char"/>
    <w:basedOn w:val="877"/>
    <w:uiPriority w:val="0"/>
    <w:qFormat/>
    <w:pPr>
      <w:jc w:val="left"/>
      <w:spacing w:after="160" w:line="240" w:lineRule="exact"/>
      <w:widowControl/>
    </w:pPr>
    <w:rPr>
      <w:rFonts w:ascii="Verdana" w:hAnsi="Verdana" w:eastAsia="FangSong_GB2312" w:cs="Times New Roman"/>
      <w:sz w:val="24"/>
      <w:szCs w:val="20"/>
      <w:lang w:eastAsia="en-US"/>
    </w:rPr>
  </w:style>
  <w:style w:type="character" w:styleId="967" w:customStyle="1">
    <w:name w:val="font01"/>
    <w:uiPriority w:val="0"/>
    <w:qFormat/>
    <w:rPr>
      <w:rFonts w:hint="eastAsia" w:ascii="宋体" w:hAnsi="宋体" w:eastAsia="宋体" w:cs="宋体"/>
      <w:color w:val="000000"/>
      <w:sz w:val="22"/>
      <w:szCs w:val="22"/>
      <w:u w:val="none"/>
    </w:rPr>
  </w:style>
  <w:style w:type="character" w:styleId="968" w:customStyle="1">
    <w:name w:val="font11"/>
    <w:uiPriority w:val="0"/>
    <w:qFormat/>
    <w:rPr>
      <w:rFonts w:hint="eastAsia" w:ascii="宋体" w:hAnsi="宋体" w:eastAsia="宋体" w:cs="宋体"/>
      <w:color w:val="ff0000"/>
      <w:sz w:val="22"/>
      <w:szCs w:val="22"/>
      <w:u w:val="none"/>
    </w:rPr>
  </w:style>
  <w:style w:type="character" w:styleId="969" w:customStyle="1">
    <w:name w:val="font31"/>
    <w:basedOn w:val="887"/>
    <w:uiPriority w:val="0"/>
    <w:qFormat/>
    <w:rPr>
      <w:rFonts w:hint="eastAsia" w:ascii="仿宋" w:hAnsi="仿宋" w:eastAsia="仿宋" w:cs="仿宋"/>
      <w:b/>
      <w:bCs/>
      <w:color w:val="000000"/>
      <w:sz w:val="16"/>
      <w:szCs w:val="16"/>
      <w:u w:val="none"/>
    </w:rPr>
  </w:style>
  <w:style w:type="character" w:styleId="970" w:customStyle="1">
    <w:name w:val="font21"/>
    <w:basedOn w:val="887"/>
    <w:uiPriority w:val="0"/>
    <w:qFormat/>
    <w:rPr>
      <w:rFonts w:hint="eastAsia" w:ascii="仿宋" w:hAnsi="仿宋" w:eastAsia="仿宋" w:cs="仿宋"/>
      <w:color w:val="000000"/>
      <w:sz w:val="16"/>
      <w:szCs w:val="16"/>
      <w:u w:val="none"/>
    </w:rPr>
  </w:style>
  <w:style w:type="character" w:styleId="971" w:customStyle="1">
    <w:name w:val="font41"/>
    <w:basedOn w:val="887"/>
    <w:uiPriority w:val="0"/>
    <w:qFormat/>
    <w:rPr>
      <w:rFonts w:hint="eastAsia" w:ascii="仿宋" w:hAnsi="仿宋" w:eastAsia="仿宋" w:cs="仿宋"/>
      <w:b/>
      <w:bCs/>
      <w:color w:val="ff0000"/>
      <w:sz w:val="16"/>
      <w:szCs w:val="16"/>
      <w:u w:val="none"/>
    </w:rPr>
  </w:style>
  <w:style w:type="paragraph" w:styleId="972" w:customStyle="1">
    <w:name w:val="列出段落1"/>
    <w:basedOn w:val="877"/>
    <w:uiPriority w:val="99"/>
    <w:qFormat/>
    <w:pPr>
      <w:ind w:firstLine="420"/>
    </w:pPr>
    <w:rPr>
      <w:rFonts w:ascii="Calibri" w:hAnsi="Calibri" w:eastAsia="宋体" w:cs="Times New Roman"/>
    </w:rPr>
  </w:style>
  <w:style w:type="paragraph" w:styleId="973" w:customStyle="1">
    <w:name w:val="paragraph"/>
    <w:basedOn w:val="877"/>
    <w:uiPriority w:val="0"/>
    <w:qFormat/>
    <w:pPr>
      <w:jc w:val="left"/>
      <w:spacing w:before="100" w:beforeAutospacing="1" w:after="100" w:afterAutospacing="1"/>
      <w:widowControl/>
    </w:pPr>
    <w:rPr>
      <w:rFonts w:ascii="宋体" w:hAnsi="宋体" w:cs="宋体"/>
      <w:sz w:val="24"/>
      <w:szCs w:val="24"/>
    </w:rPr>
  </w:style>
  <w:style w:type="paragraph" w:styleId="974" w:customStyle="1">
    <w:name w:val="Preistext2"/>
    <w:basedOn w:val="877"/>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975" w:customStyle="1">
    <w:name w:val="正文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table" w:styleId="976" w:customStyle="1">
    <w:name w:val="Grid Table 2 - Accent 1"/>
    <w:basedOn w:val="888"/>
    <w:uiPriority w:val="99"/>
    <w:qFormat/>
    <w:tblPr>
      <w:tblBorders>
        <w:bottom w:val="single" w:color="68A2D8" w:sz="4" w:space="0"/>
        <w:insideH w:val="single" w:color="68A2D8" w:sz="4" w:space="0"/>
        <w:insideV w:val="single" w:color="68A2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paragraph" w:styleId="977" w:customStyle="1">
    <w:name w:val="正文1"/>
    <w:basedOn w:val="877"/>
    <w:next w:val="877"/>
    <w:uiPriority w:val="0"/>
    <w:qFormat/>
    <w:rPr>
      <w:rFonts w:ascii="Times New Roman" w:hAnsi="Times New Roman" w:eastAsia="宋体" w:cs="Times New Roman"/>
      <w:szCs w:val="24"/>
    </w:rPr>
  </w:style>
  <w:style w:type="paragraph" w:styleId="978" w:customStyle="1">
    <w:name w:val="Heading 1"/>
    <w:basedOn w:val="877"/>
    <w:next w:val="877"/>
    <w:uiPriority w:val="0"/>
    <w:qFormat/>
    <w:pPr>
      <w:jc w:val="center"/>
      <w:keepLines/>
      <w:keepNext/>
      <w:spacing w:line="360" w:lineRule="auto"/>
      <w:widowControl/>
      <w:outlineLvl w:val="0"/>
    </w:pPr>
    <w:rPr>
      <w:rFonts w:ascii="Arial" w:hAnsi="Arial" w:eastAsia="宋体" w:cs="Arial"/>
      <w:b/>
      <w:sz w:val="36"/>
      <w:szCs w:val="40"/>
    </w:rPr>
  </w:style>
  <w:style w:type="table" w:styleId="979" w:customStyle="1">
    <w:name w:val="网格型6"/>
    <w:basedOn w:val="888"/>
    <w:uiPriority w:val="99"/>
    <w:semiHidden/>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0" w:customStyle="1">
    <w:name w:val="网格型3"/>
    <w:basedOn w:val="888"/>
    <w:uiPriority w:val="99"/>
    <w:semiHidden/>
    <w:unhideWhenUsed/>
    <w:qFormat/>
    <w:pPr>
      <w:jc w:val="both"/>
      <w:widowControl w:val="off"/>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3C21B-9E77-4EC6-AA41-440B0DBE63FC}"/>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文高山</cp:lastModifiedBy>
  <cp:revision>712</cp:revision>
  <dcterms:created xsi:type="dcterms:W3CDTF">2021-07-28T12:14:00Z</dcterms:created>
  <dcterms:modified xsi:type="dcterms:W3CDTF">2025-11-11T08:09:27Z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7C93D8C3B3054331BB89ACF5760EEB94_13</vt:lpwstr>
  </property>
  <property fmtid="{D5CDD505-2E9C-101B-9397-08002B2CF9AE}" pid="4" name="KSOTemplateDocerSaveRecord">
    <vt:lpwstr>eyJoZGlkIjoiN2Q1MTU2OWQyYjBkOTdhOGIyNjdjNTg5ZTE4NWNiNWEiLCJ1c2VySWQiOiIyNTgwNDk4MzkifQ==</vt:lpwstr>
  </property>
</Properties>
</file>